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142F8" w14:paraId="3BB254A2" w14:textId="77777777" w:rsidTr="004020D4">
        <w:trPr>
          <w:trHeight w:val="426"/>
        </w:trPr>
        <w:tc>
          <w:tcPr>
            <w:tcW w:w="5211" w:type="dxa"/>
            <w:hideMark/>
          </w:tcPr>
          <w:p w14:paraId="414102B1" w14:textId="77777777" w:rsidR="007E1D85" w:rsidRPr="008330E7" w:rsidRDefault="007E1D85" w:rsidP="004020D4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76110827" w14:textId="77777777" w:rsidR="00084813" w:rsidRPr="005142F8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УТВЕРЖДЕНА</w:t>
            </w:r>
          </w:p>
          <w:p w14:paraId="0672C7CB" w14:textId="77777777" w:rsidR="00084813" w:rsidRPr="005142F8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Приказом Председателя </w:t>
            </w:r>
          </w:p>
          <w:p w14:paraId="7C676187" w14:textId="77777777" w:rsidR="00084813" w:rsidRPr="005142F8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РГУ «</w:t>
            </w:r>
            <w:r w:rsidR="000923D9" w:rsidRPr="005142F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Комитет </w:t>
            </w:r>
            <w:r w:rsidR="000923D9" w:rsidRPr="005142F8">
              <w:rPr>
                <w:rFonts w:ascii="Times New Roman" w:eastAsiaTheme="minorHAnsi" w:hAnsi="Times New Roman"/>
                <w:sz w:val="28"/>
                <w:szCs w:val="28"/>
              </w:rPr>
              <w:t>медицинского</w:t>
            </w:r>
            <w:r w:rsidRPr="005142F8">
              <w:rPr>
                <w:rFonts w:ascii="Times New Roman" w:eastAsiaTheme="minorHAnsi" w:hAnsi="Times New Roman"/>
                <w:sz w:val="28"/>
                <w:szCs w:val="28"/>
              </w:rPr>
              <w:t xml:space="preserve"> и фармацевтического </w:t>
            </w:r>
            <w:proofErr w:type="gramStart"/>
            <w:r w:rsidRPr="005142F8">
              <w:rPr>
                <w:rFonts w:ascii="Times New Roman" w:eastAsiaTheme="minorHAnsi" w:hAnsi="Times New Roman"/>
                <w:sz w:val="28"/>
                <w:szCs w:val="28"/>
              </w:rPr>
              <w:t xml:space="preserve">контроля  </w:t>
            </w:r>
            <w:r w:rsidRPr="005142F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Министерства</w:t>
            </w:r>
            <w:proofErr w:type="gramEnd"/>
            <w:r w:rsidRPr="005142F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здравоохранения </w:t>
            </w:r>
          </w:p>
          <w:p w14:paraId="25156D62" w14:textId="77777777" w:rsidR="00084813" w:rsidRPr="005142F8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Республики Казахстан»</w:t>
            </w:r>
          </w:p>
          <w:p w14:paraId="42120D76" w14:textId="662D1681" w:rsidR="00084813" w:rsidRPr="005142F8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от «</w:t>
            </w:r>
            <w:proofErr w:type="gramStart"/>
            <w:r w:rsidR="003B7C91" w:rsidRPr="003B7C91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19</w:t>
            </w:r>
            <w:r w:rsidRPr="005142F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»</w:t>
            </w:r>
            <w:r w:rsidR="003B7C91" w:rsidRPr="003B7C91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 </w:t>
            </w:r>
            <w:proofErr w:type="gramEnd"/>
            <w:r w:rsidR="003B7C91" w:rsidRPr="003B7C91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06    </w:t>
            </w:r>
            <w:r w:rsidRPr="005142F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</w:t>
            </w:r>
            <w:r w:rsidR="003B7C91" w:rsidRPr="003B7C91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24 </w:t>
            </w:r>
            <w:r w:rsidRPr="005142F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г.</w:t>
            </w:r>
          </w:p>
          <w:p w14:paraId="499B3EEF" w14:textId="4AB2C8F0" w:rsidR="00084813" w:rsidRPr="003B7C91" w:rsidRDefault="00084813" w:rsidP="0008481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№</w:t>
            </w:r>
            <w:r w:rsidR="003B7C91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N075879</w:t>
            </w:r>
          </w:p>
          <w:p w14:paraId="63CA3335" w14:textId="77777777" w:rsidR="00523D82" w:rsidRPr="005142F8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F1B7708" w14:textId="77777777" w:rsidR="00523D82" w:rsidRPr="005142F8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5142F8" w14:paraId="4B2F6E19" w14:textId="77777777" w:rsidTr="007E1D85">
        <w:tc>
          <w:tcPr>
            <w:tcW w:w="5211" w:type="dxa"/>
          </w:tcPr>
          <w:p w14:paraId="4365A5D1" w14:textId="77777777" w:rsidR="00523D82" w:rsidRPr="005142F8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D970A09" w14:textId="77777777" w:rsidR="00523D82" w:rsidRPr="005142F8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668BD36" w14:textId="77777777" w:rsidR="00523D82" w:rsidRPr="005142F8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759F98BC" w14:textId="77777777" w:rsidR="00D76048" w:rsidRPr="005142F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06B35478" w14:textId="77777777" w:rsidR="00D76048" w:rsidRPr="005142F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28BC2FED" w14:textId="77777777" w:rsidR="002C76D7" w:rsidRPr="005142F8" w:rsidRDefault="002C76D7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8750A4" w14:textId="77777777" w:rsidR="002C76D7" w:rsidRPr="005142F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02D909A" w14:textId="77777777" w:rsidR="002C76D7" w:rsidRPr="005142F8" w:rsidRDefault="004020D4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5142F8">
        <w:rPr>
          <w:rFonts w:ascii="Times New Roman" w:eastAsia="Times New Roman" w:hAnsi="Times New Roman"/>
          <w:bCs/>
          <w:sz w:val="28"/>
          <w:szCs w:val="28"/>
          <w:lang w:eastAsia="ru-RU"/>
        </w:rPr>
        <w:t>Босфит</w:t>
      </w:r>
      <w:proofErr w:type="spellEnd"/>
    </w:p>
    <w:p w14:paraId="0F112270" w14:textId="77777777" w:rsidR="004020D4" w:rsidRPr="005142F8" w:rsidRDefault="004020D4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F62E8E6" w14:textId="77777777" w:rsidR="002C76D7" w:rsidRPr="005142F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308D7A99" w14:textId="77777777" w:rsidR="004020D4" w:rsidRPr="005142F8" w:rsidRDefault="004020D4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165726416"/>
      <w:proofErr w:type="spellStart"/>
      <w:r w:rsidRPr="005142F8">
        <w:rPr>
          <w:rFonts w:ascii="Times New Roman" w:eastAsia="Times New Roman" w:hAnsi="Times New Roman"/>
          <w:bCs/>
          <w:sz w:val="28"/>
          <w:szCs w:val="28"/>
          <w:lang w:eastAsia="ru-RU"/>
        </w:rPr>
        <w:t>Бозентан</w:t>
      </w:r>
      <w:proofErr w:type="spellEnd"/>
    </w:p>
    <w:bookmarkEnd w:id="0"/>
    <w:p w14:paraId="3EA51E84" w14:textId="77777777" w:rsidR="002C76D7" w:rsidRPr="005142F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908D1C" w14:textId="77777777" w:rsidR="00D76048" w:rsidRPr="005142F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47825F3C" w14:textId="77777777" w:rsidR="00B01011" w:rsidRPr="005142F8" w:rsidRDefault="004020D4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sz w:val="28"/>
          <w:szCs w:val="28"/>
          <w:lang w:eastAsia="ru-RU"/>
        </w:rPr>
        <w:t>Таблетки, покрытые пленочной оболочкой, 125 мг</w:t>
      </w:r>
    </w:p>
    <w:p w14:paraId="6F8C687F" w14:textId="77777777" w:rsidR="004020D4" w:rsidRPr="005142F8" w:rsidRDefault="004020D4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91B8F5" w14:textId="77777777" w:rsidR="002C1660" w:rsidRPr="005142F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1" w:name="OCRUncertain022"/>
      <w:r w:rsidRPr="005142F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1"/>
      <w:r w:rsidRPr="005142F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5142F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097193B5" w14:textId="77777777" w:rsidR="00391C3D" w:rsidRPr="00391C3D" w:rsidRDefault="00391C3D" w:rsidP="00391C3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91C3D">
        <w:rPr>
          <w:rFonts w:ascii="Times New Roman" w:hAnsi="Times New Roman"/>
          <w:color w:val="000000"/>
          <w:sz w:val="28"/>
          <w:szCs w:val="28"/>
        </w:rPr>
        <w:t xml:space="preserve">Сердечно-сосудистая система. Антигипертензивные препараты. Антигипертензивные препараты другие. Антигипертензивные препараты, применяемые при легочной артериальной гипертензии. </w:t>
      </w:r>
      <w:proofErr w:type="spellStart"/>
      <w:r w:rsidR="00784208" w:rsidRPr="00784208">
        <w:rPr>
          <w:rFonts w:ascii="Times New Roman" w:hAnsi="Times New Roman"/>
          <w:color w:val="000000"/>
          <w:sz w:val="28"/>
          <w:szCs w:val="28"/>
        </w:rPr>
        <w:t>Бозентан</w:t>
      </w:r>
      <w:proofErr w:type="spellEnd"/>
      <w:r w:rsidRPr="00391C3D">
        <w:rPr>
          <w:rFonts w:ascii="Times New Roman" w:hAnsi="Times New Roman"/>
          <w:color w:val="000000"/>
          <w:sz w:val="28"/>
          <w:szCs w:val="28"/>
        </w:rPr>
        <w:t>.</w:t>
      </w:r>
    </w:p>
    <w:p w14:paraId="653C2E3D" w14:textId="77777777" w:rsidR="00391C3D" w:rsidRPr="00391C3D" w:rsidRDefault="00391C3D" w:rsidP="00391C3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91C3D">
        <w:rPr>
          <w:rFonts w:ascii="Times New Roman" w:hAnsi="Times New Roman"/>
          <w:color w:val="000000"/>
          <w:sz w:val="28"/>
          <w:szCs w:val="28"/>
        </w:rPr>
        <w:t xml:space="preserve">Код АТХ С02КХ01 </w:t>
      </w:r>
    </w:p>
    <w:p w14:paraId="50C6CFCC" w14:textId="77777777" w:rsidR="002C76D7" w:rsidRPr="005142F8" w:rsidRDefault="002C76D7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1EA5B0" w14:textId="77777777" w:rsidR="002C76D7" w:rsidRPr="005142F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</w:rPr>
      </w:pPr>
      <w:r w:rsidRPr="005142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5142F8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14:paraId="10C75650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20D4">
        <w:rPr>
          <w:rFonts w:ascii="Times New Roman" w:hAnsi="Times New Roman"/>
          <w:color w:val="000000"/>
          <w:sz w:val="28"/>
          <w:szCs w:val="28"/>
        </w:rPr>
        <w:t>Лечение легочной артериальной гипертензии (ЛАГ) для улучшения толерантности к физической нагрузке и улучшения симптомов у пациентов с III функциональным классом ВОЗ. Эффективность была показана в:</w:t>
      </w:r>
    </w:p>
    <w:p w14:paraId="4A46FAD4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20D4">
        <w:rPr>
          <w:rFonts w:ascii="Times New Roman" w:hAnsi="Times New Roman"/>
          <w:color w:val="000000"/>
          <w:sz w:val="28"/>
          <w:szCs w:val="28"/>
        </w:rPr>
        <w:t>– первичная (идиопатическая и наследственная) легочная артериальная гипертензия</w:t>
      </w:r>
    </w:p>
    <w:p w14:paraId="20116099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20D4">
        <w:rPr>
          <w:rFonts w:ascii="Times New Roman" w:hAnsi="Times New Roman"/>
          <w:color w:val="000000"/>
          <w:sz w:val="28"/>
          <w:szCs w:val="28"/>
        </w:rPr>
        <w:t xml:space="preserve"> – вторичная легочная артериальная гипертензия на фоне склеродермии при отсутствии значимого интерстициального поражения легких</w:t>
      </w:r>
    </w:p>
    <w:p w14:paraId="55B38F4B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20D4">
        <w:rPr>
          <w:rFonts w:ascii="Times New Roman" w:hAnsi="Times New Roman"/>
          <w:color w:val="000000"/>
          <w:sz w:val="28"/>
          <w:szCs w:val="28"/>
        </w:rPr>
        <w:t xml:space="preserve">– легочная артериальная гипертензия вследствие врожденных пороков сердца с нарушениями гемодинамики по типу синдрома </w:t>
      </w:r>
      <w:proofErr w:type="spellStart"/>
      <w:r w:rsidRPr="004020D4">
        <w:rPr>
          <w:rFonts w:ascii="Times New Roman" w:hAnsi="Times New Roman"/>
          <w:color w:val="000000"/>
          <w:sz w:val="28"/>
          <w:szCs w:val="28"/>
        </w:rPr>
        <w:t>Эйзенменгера</w:t>
      </w:r>
      <w:proofErr w:type="spellEnd"/>
      <w:r w:rsidRPr="004020D4">
        <w:rPr>
          <w:rFonts w:ascii="Times New Roman" w:hAnsi="Times New Roman"/>
          <w:color w:val="000000"/>
          <w:sz w:val="28"/>
          <w:szCs w:val="28"/>
        </w:rPr>
        <w:t>.</w:t>
      </w:r>
    </w:p>
    <w:p w14:paraId="648D158C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20D4">
        <w:rPr>
          <w:rFonts w:ascii="Times New Roman" w:hAnsi="Times New Roman"/>
          <w:color w:val="000000"/>
          <w:sz w:val="28"/>
          <w:szCs w:val="28"/>
        </w:rPr>
        <w:t>Некоторые улучшения были также отмечены у пациентов с легочной артериальной гипертензией II функционального класса ВОЗ.</w:t>
      </w:r>
    </w:p>
    <w:p w14:paraId="13808BE1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20D4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4020D4">
        <w:rPr>
          <w:rFonts w:ascii="Times New Roman" w:hAnsi="Times New Roman"/>
          <w:color w:val="000000"/>
          <w:sz w:val="28"/>
          <w:szCs w:val="28"/>
        </w:rPr>
        <w:t>Босфит</w:t>
      </w:r>
      <w:proofErr w:type="spellEnd"/>
      <w:r w:rsidRPr="004020D4">
        <w:rPr>
          <w:rFonts w:ascii="Times New Roman" w:hAnsi="Times New Roman"/>
          <w:color w:val="000000"/>
          <w:sz w:val="28"/>
          <w:szCs w:val="28"/>
        </w:rPr>
        <w:t xml:space="preserve"> применяется с целью профилактики новых язвенных поражений кожи на фоне </w:t>
      </w:r>
      <w:proofErr w:type="spellStart"/>
      <w:r w:rsidRPr="004020D4">
        <w:rPr>
          <w:rFonts w:ascii="Times New Roman" w:hAnsi="Times New Roman"/>
          <w:color w:val="000000"/>
          <w:sz w:val="28"/>
          <w:szCs w:val="28"/>
        </w:rPr>
        <w:t>склеродермической</w:t>
      </w:r>
      <w:proofErr w:type="spellEnd"/>
      <w:r w:rsidRPr="004020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20D4">
        <w:rPr>
          <w:rFonts w:ascii="Times New Roman" w:hAnsi="Times New Roman"/>
          <w:color w:val="000000"/>
          <w:sz w:val="28"/>
          <w:szCs w:val="28"/>
        </w:rPr>
        <w:t>акропатии</w:t>
      </w:r>
      <w:proofErr w:type="spellEnd"/>
      <w:r w:rsidRPr="004020D4">
        <w:rPr>
          <w:rFonts w:ascii="Times New Roman" w:hAnsi="Times New Roman"/>
          <w:color w:val="000000"/>
          <w:sz w:val="28"/>
          <w:szCs w:val="28"/>
        </w:rPr>
        <w:t>.</w:t>
      </w:r>
    </w:p>
    <w:p w14:paraId="4582FF6B" w14:textId="77777777" w:rsidR="00844CE8" w:rsidRPr="005142F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8D8D0D" w14:textId="77777777" w:rsidR="00DB406A" w:rsidRPr="005142F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4A691C1D" w14:textId="77777777" w:rsidR="004020D4" w:rsidRPr="005142F8" w:rsidRDefault="007D0E84" w:rsidP="004020D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Противопоказания</w:t>
      </w:r>
    </w:p>
    <w:p w14:paraId="3D68700F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020D4">
        <w:rPr>
          <w:rFonts w:ascii="Times New Roman" w:hAnsi="Times New Roman"/>
          <w:sz w:val="28"/>
          <w:szCs w:val="28"/>
        </w:rPr>
        <w:t>- гиперчувствительность к активному веществу или к любому из вспомогательных веществ</w:t>
      </w:r>
    </w:p>
    <w:p w14:paraId="6A9FBC06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0D4">
        <w:rPr>
          <w:rFonts w:ascii="Times New Roman" w:hAnsi="Times New Roman"/>
          <w:sz w:val="28"/>
          <w:szCs w:val="28"/>
        </w:rPr>
        <w:t xml:space="preserve">- умеренные или тяжелые нарушения функции печени, например, класс </w:t>
      </w:r>
      <w:r w:rsidRPr="004020D4">
        <w:rPr>
          <w:rFonts w:ascii="Times New Roman" w:hAnsi="Times New Roman"/>
          <w:sz w:val="28"/>
          <w:szCs w:val="28"/>
          <w:lang w:val="en-US"/>
        </w:rPr>
        <w:t>B</w:t>
      </w:r>
      <w:r w:rsidRPr="004020D4">
        <w:rPr>
          <w:rFonts w:ascii="Times New Roman" w:hAnsi="Times New Roman"/>
          <w:sz w:val="28"/>
          <w:szCs w:val="28"/>
        </w:rPr>
        <w:t xml:space="preserve"> или </w:t>
      </w:r>
      <w:r w:rsidRPr="004020D4">
        <w:rPr>
          <w:rFonts w:ascii="Times New Roman" w:hAnsi="Times New Roman"/>
          <w:sz w:val="28"/>
          <w:szCs w:val="28"/>
          <w:lang w:val="en-US"/>
        </w:rPr>
        <w:t>C</w:t>
      </w:r>
      <w:r w:rsidRPr="004020D4">
        <w:rPr>
          <w:rFonts w:ascii="Times New Roman" w:hAnsi="Times New Roman"/>
          <w:sz w:val="28"/>
          <w:szCs w:val="28"/>
        </w:rPr>
        <w:t xml:space="preserve"> по шкале Чайлд-Пью</w:t>
      </w:r>
    </w:p>
    <w:p w14:paraId="0CFD2473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0D4">
        <w:rPr>
          <w:rFonts w:ascii="Times New Roman" w:hAnsi="Times New Roman"/>
          <w:sz w:val="28"/>
          <w:szCs w:val="28"/>
        </w:rPr>
        <w:t xml:space="preserve">- повышенный уровень </w:t>
      </w:r>
      <w:proofErr w:type="spellStart"/>
      <w:r w:rsidRPr="004020D4">
        <w:rPr>
          <w:rFonts w:ascii="Times New Roman" w:hAnsi="Times New Roman"/>
          <w:sz w:val="28"/>
          <w:szCs w:val="28"/>
        </w:rPr>
        <w:t>аминотрансферазы</w:t>
      </w:r>
      <w:proofErr w:type="spellEnd"/>
      <w:r w:rsidRPr="004020D4">
        <w:rPr>
          <w:rFonts w:ascii="Times New Roman" w:hAnsi="Times New Roman"/>
          <w:sz w:val="28"/>
          <w:szCs w:val="28"/>
        </w:rPr>
        <w:t xml:space="preserve"> печени перед началом лечения, </w:t>
      </w:r>
      <w:r w:rsidRPr="005142F8">
        <w:rPr>
          <w:rFonts w:ascii="Times New Roman" w:hAnsi="Times New Roman"/>
          <w:sz w:val="28"/>
          <w:szCs w:val="28"/>
        </w:rPr>
        <w:t>то есть,</w:t>
      </w:r>
      <w:r w:rsidRPr="004020D4">
        <w:rPr>
          <w:rFonts w:ascii="Times New Roman" w:hAnsi="Times New Roman"/>
          <w:sz w:val="28"/>
          <w:szCs w:val="28"/>
        </w:rPr>
        <w:t xml:space="preserve"> когда уровень </w:t>
      </w:r>
      <w:proofErr w:type="spellStart"/>
      <w:r w:rsidRPr="004020D4">
        <w:rPr>
          <w:rFonts w:ascii="Times New Roman" w:hAnsi="Times New Roman"/>
          <w:sz w:val="28"/>
          <w:szCs w:val="28"/>
        </w:rPr>
        <w:t>аспартатаминотрансферазы</w:t>
      </w:r>
      <w:proofErr w:type="spellEnd"/>
      <w:r w:rsidRPr="004020D4">
        <w:rPr>
          <w:rFonts w:ascii="Times New Roman" w:hAnsi="Times New Roman"/>
          <w:sz w:val="28"/>
          <w:szCs w:val="28"/>
        </w:rPr>
        <w:t xml:space="preserve"> (</w:t>
      </w:r>
      <w:r w:rsidRPr="004020D4">
        <w:rPr>
          <w:rFonts w:ascii="Times New Roman" w:hAnsi="Times New Roman"/>
          <w:sz w:val="28"/>
          <w:szCs w:val="28"/>
          <w:lang w:val="en-US"/>
        </w:rPr>
        <w:t>AST</w:t>
      </w:r>
      <w:r w:rsidRPr="004020D4">
        <w:rPr>
          <w:rFonts w:ascii="Times New Roman" w:hAnsi="Times New Roman"/>
          <w:sz w:val="28"/>
          <w:szCs w:val="28"/>
        </w:rPr>
        <w:t>) и/или аланинаминотрансферазы (</w:t>
      </w:r>
      <w:r w:rsidRPr="004020D4">
        <w:rPr>
          <w:rFonts w:ascii="Times New Roman" w:hAnsi="Times New Roman"/>
          <w:sz w:val="28"/>
          <w:szCs w:val="28"/>
          <w:lang w:val="en-US"/>
        </w:rPr>
        <w:t>ALT</w:t>
      </w:r>
      <w:r w:rsidRPr="004020D4">
        <w:rPr>
          <w:rFonts w:ascii="Times New Roman" w:hAnsi="Times New Roman"/>
          <w:sz w:val="28"/>
          <w:szCs w:val="28"/>
        </w:rPr>
        <w:t xml:space="preserve">) в три раза выше нормы </w:t>
      </w:r>
    </w:p>
    <w:p w14:paraId="666C0353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0D4">
        <w:rPr>
          <w:rFonts w:ascii="Times New Roman" w:hAnsi="Times New Roman"/>
          <w:sz w:val="28"/>
          <w:szCs w:val="28"/>
        </w:rPr>
        <w:t xml:space="preserve">- одновременный прием циклоспорина А </w:t>
      </w:r>
    </w:p>
    <w:p w14:paraId="58C88628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0D4">
        <w:rPr>
          <w:rFonts w:ascii="Times New Roman" w:hAnsi="Times New Roman"/>
          <w:sz w:val="28"/>
          <w:szCs w:val="28"/>
        </w:rPr>
        <w:t xml:space="preserve">- беременность </w:t>
      </w:r>
    </w:p>
    <w:p w14:paraId="1FCF81CD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0D4">
        <w:rPr>
          <w:rFonts w:ascii="Times New Roman" w:hAnsi="Times New Roman"/>
          <w:sz w:val="28"/>
          <w:szCs w:val="28"/>
        </w:rPr>
        <w:t>- женщины репродуктивного возраста, которые не используют надежные методы контрацепции</w:t>
      </w:r>
    </w:p>
    <w:p w14:paraId="76B36412" w14:textId="77777777" w:rsidR="007D0E84" w:rsidRPr="005142F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5B12F522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является индуктором изоферментов цитохрома CYP2C9 и CYP3A4. Лабораторные данные также показывают индукцию CYP2C19. Таким образом, концентрации веществ,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метаболизируемых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этими изоферментами, в плазме крови могут снижаться при одновременном назначении </w:t>
      </w:r>
      <w:proofErr w:type="spellStart"/>
      <w:r w:rsidRPr="004020D4">
        <w:rPr>
          <w:rFonts w:ascii="Times New Roman" w:hAnsi="Times New Roman"/>
          <w:bCs/>
          <w:color w:val="000000"/>
          <w:sz w:val="28"/>
          <w:szCs w:val="24"/>
        </w:rPr>
        <w:t>Босфита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14:paraId="0152F717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Следует учесть возможность изменений в эффективности лекарственных </w:t>
      </w:r>
      <w:r w:rsidR="006C385B" w:rsidRPr="005142F8">
        <w:rPr>
          <w:rFonts w:ascii="Times New Roman" w:hAnsi="Times New Roman"/>
          <w:color w:val="000000"/>
          <w:sz w:val="28"/>
          <w:szCs w:val="24"/>
        </w:rPr>
        <w:t>средств, которые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метаболизируются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этими изоферментами. Возможно, потребуется коррекция дозы этих лекарственных средств после начала приема, а также изменение дозы или отмена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Босфита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при их одновременном применении. </w:t>
      </w:r>
    </w:p>
    <w:p w14:paraId="66DDE9BF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метаболизируется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изоферментами CYP2C9 и CYP3A4. </w:t>
      </w:r>
      <w:r w:rsidR="006C385B" w:rsidRPr="005142F8">
        <w:rPr>
          <w:rFonts w:ascii="Times New Roman" w:hAnsi="Times New Roman"/>
          <w:color w:val="000000"/>
          <w:sz w:val="28"/>
          <w:szCs w:val="24"/>
        </w:rPr>
        <w:t>Подавление активности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CYP3A4 может привести к повышению </w:t>
      </w:r>
      <w:r w:rsidR="006C385B" w:rsidRPr="005142F8">
        <w:rPr>
          <w:rFonts w:ascii="Times New Roman" w:hAnsi="Times New Roman"/>
          <w:color w:val="000000"/>
          <w:sz w:val="28"/>
          <w:szCs w:val="24"/>
        </w:rPr>
        <w:t xml:space="preserve">концентрации </w:t>
      </w:r>
      <w:proofErr w:type="spellStart"/>
      <w:r w:rsidR="006C385B" w:rsidRPr="005142F8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крови. Влияние ингибиторов CYP2C9 на концентрацию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не изучалось. Следует соблюдать осторожность при использовании такой комбинации. </w:t>
      </w:r>
    </w:p>
    <w:p w14:paraId="6A5D2DA9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Одновременный прием флуконазола, подавляющего, главным образом, CYP2C9, а также до некоторой степени CYP3A4, может приводить к значительному увеличению концентрации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крови. Поэтому в таком сочетании применять препараты не рекомендуется. По этой же причине одновременное применение мощных ингибиторов CYP3A4 (таких как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кетоконазол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="006C385B" w:rsidRPr="005142F8">
        <w:rPr>
          <w:rFonts w:ascii="Times New Roman" w:hAnsi="Times New Roman"/>
          <w:color w:val="000000"/>
          <w:sz w:val="28"/>
          <w:szCs w:val="24"/>
        </w:rPr>
        <w:t>интраконазол</w:t>
      </w:r>
      <w:proofErr w:type="spellEnd"/>
      <w:r w:rsidR="006C385B" w:rsidRPr="005142F8">
        <w:rPr>
          <w:rFonts w:ascii="Times New Roman" w:hAnsi="Times New Roman"/>
          <w:color w:val="000000"/>
          <w:sz w:val="28"/>
          <w:szCs w:val="24"/>
        </w:rPr>
        <w:t xml:space="preserve"> или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ритонавир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), а также ингибитора CYP2C9 (например,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вориконазола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) с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Босфитом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не рекомендуется. </w:t>
      </w:r>
    </w:p>
    <w:p w14:paraId="13AD9991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i/>
          <w:color w:val="000000"/>
          <w:sz w:val="28"/>
          <w:szCs w:val="24"/>
        </w:rPr>
        <w:t>Гормональные контрацептивы</w:t>
      </w:r>
    </w:p>
    <w:p w14:paraId="05E91C1B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При одновременном применении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 в  дозе 125 мг два раза в день и перорального контрацептива (однократный прием   комбинированного препарата, содержащего 1 мг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норэтистерона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 35 мкг этинилэстрадиола) отмечалось снижение AUC (площади под фармакокинетической кривой) для его компонентов (на 14 % и 31 %  соответственно). У отдельных пациенток снижение экспозиции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норэтистерона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 этинилэстрадиола достигало 56 % и 66 % соответственно. Таким </w:t>
      </w:r>
      <w:r w:rsidR="006C385B" w:rsidRPr="005142F8">
        <w:rPr>
          <w:rFonts w:ascii="Times New Roman" w:hAnsi="Times New Roman"/>
          <w:color w:val="000000"/>
          <w:sz w:val="28"/>
          <w:szCs w:val="24"/>
        </w:rPr>
        <w:t>образом, гормональная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4020D4">
        <w:rPr>
          <w:rFonts w:ascii="Times New Roman" w:hAnsi="Times New Roman"/>
          <w:color w:val="000000"/>
          <w:sz w:val="28"/>
          <w:szCs w:val="24"/>
        </w:rPr>
        <w:lastRenderedPageBreak/>
        <w:t xml:space="preserve">контрацепция не может считаться достаточно эффективной (включая пероральную, инъекционную,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трансдермальную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или имплантационную форму).</w:t>
      </w:r>
    </w:p>
    <w:p w14:paraId="5AE7F5C6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i/>
          <w:color w:val="000000"/>
          <w:sz w:val="28"/>
          <w:szCs w:val="24"/>
        </w:rPr>
        <w:t>Циклоспорин A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14:paraId="0FCC8F17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Одновременное применение </w:t>
      </w:r>
      <w:proofErr w:type="spellStart"/>
      <w:r w:rsidR="006C385B" w:rsidRPr="005142F8">
        <w:rPr>
          <w:rFonts w:ascii="Times New Roman" w:hAnsi="Times New Roman"/>
          <w:color w:val="000000"/>
          <w:sz w:val="28"/>
          <w:szCs w:val="24"/>
        </w:rPr>
        <w:t>Босфита</w:t>
      </w:r>
      <w:proofErr w:type="spellEnd"/>
      <w:r w:rsidR="006C385B" w:rsidRPr="005142F8">
        <w:rPr>
          <w:rFonts w:ascii="Times New Roman" w:hAnsi="Times New Roman"/>
          <w:color w:val="000000"/>
          <w:sz w:val="28"/>
          <w:szCs w:val="24"/>
        </w:rPr>
        <w:t xml:space="preserve"> в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сочетании с циклоспорином А противопоказано. Это связано с тем, что при введении совместно с циклоспорином 500 мг два раза в день, минимальная начальная концентрация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</w:t>
      </w:r>
      <w:r w:rsidR="006C385B" w:rsidRPr="005142F8">
        <w:rPr>
          <w:rFonts w:ascii="Times New Roman" w:hAnsi="Times New Roman"/>
          <w:color w:val="000000"/>
          <w:sz w:val="28"/>
          <w:szCs w:val="24"/>
        </w:rPr>
        <w:t>крови была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примерно в 30 раз выше по сравнению с уровнями, отмечавшимися при введении только одного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; равновесная концентрация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  плазме крови была в 3 - 4 выше. Механизмом этого взаимодействия скорее всего связан с торможением транспортного белка, отвечающего за доставку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гепатоциты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за счет циклоспорина. Концентрация в крови циклоспорина (CYP3A4 субстрата) была ниже примерно на 50 %. Как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, так и циклоспорин ингибируют соли желчных кислот, что увеличивает риск повышения уровней печеночных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аминотрансфераз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>.</w:t>
      </w:r>
    </w:p>
    <w:p w14:paraId="359A16E2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t>Такролимус</w:t>
      </w:r>
      <w:proofErr w:type="spellEnd"/>
      <w:r w:rsidRPr="004020D4">
        <w:rPr>
          <w:rFonts w:ascii="Times New Roman" w:hAnsi="Times New Roman"/>
          <w:i/>
          <w:color w:val="000000"/>
          <w:sz w:val="28"/>
          <w:szCs w:val="24"/>
        </w:rPr>
        <w:t xml:space="preserve">, </w:t>
      </w: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t>сиролимус</w:t>
      </w:r>
      <w:proofErr w:type="spellEnd"/>
      <w:r w:rsidRPr="004020D4">
        <w:rPr>
          <w:rFonts w:ascii="Times New Roman" w:hAnsi="Times New Roman"/>
          <w:i/>
          <w:color w:val="000000"/>
          <w:sz w:val="28"/>
          <w:szCs w:val="24"/>
        </w:rPr>
        <w:t xml:space="preserve">  </w:t>
      </w:r>
    </w:p>
    <w:p w14:paraId="736CB869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Изучение совместного применения с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у людей не проводилось, однако, предполагается что концентрация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крови может увеличиваться по аналогии с циклоспорином А. Концентрация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такролимуса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сиролимуса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может уменьшаться при совместном применении с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Босфитом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. </w:t>
      </w:r>
      <w:proofErr w:type="spellStart"/>
      <w:r w:rsidR="00784208" w:rsidRPr="004020D4">
        <w:rPr>
          <w:rFonts w:ascii="Times New Roman" w:hAnsi="Times New Roman"/>
          <w:color w:val="000000"/>
          <w:sz w:val="28"/>
          <w:szCs w:val="24"/>
        </w:rPr>
        <w:t>Босфит</w:t>
      </w:r>
      <w:proofErr w:type="spellEnd"/>
      <w:r w:rsidR="00784208" w:rsidRPr="004020D4">
        <w:rPr>
          <w:rFonts w:ascii="Times New Roman" w:hAnsi="Times New Roman"/>
          <w:color w:val="000000"/>
          <w:sz w:val="28"/>
          <w:szCs w:val="24"/>
        </w:rPr>
        <w:t xml:space="preserve"> не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рекомендуется применять совместно с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такролимусом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или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сиролимусом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. В случае необходимости использования данной комбинации следует тщательно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мониторировать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состояние пациента, и контролировать концентрацию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такролимуса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сироролимуса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крови. </w:t>
      </w:r>
    </w:p>
    <w:p w14:paraId="2CEB8BF5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t>Глибенкламид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14:paraId="6364FA90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При одновременном применении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дозе 125 мг два раза в день в течение 5 дней снижалась концентрация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глибенкламида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(субстрат CYP3A4) в плазме на 40 %. Концентрация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также снижалась на 29 %. Кроме того, </w:t>
      </w:r>
      <w:r w:rsidR="006C385B" w:rsidRPr="005142F8">
        <w:rPr>
          <w:rFonts w:ascii="Times New Roman" w:hAnsi="Times New Roman"/>
          <w:color w:val="000000"/>
          <w:sz w:val="28"/>
          <w:szCs w:val="24"/>
        </w:rPr>
        <w:t>отмечалось нарастание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частоты случаев повышения уровня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аминотрансфераз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14:paraId="33ED47DF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В этом контексте, эта комбинация не должна использоваться у пациентов, получавших сопутствующую терапию. Как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глибенкламид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, так 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препятствуют экспорту желчных солей, что могло бы объяснить повышение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аминотрансферазы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. Вследствие этого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Босфит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не следует применять одновременно с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глибенкламидом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из-за возрастания риска повышения уровней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аминотрансфераз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. Нет данных о лекарственных взаимодействиях с другими </w:t>
      </w:r>
      <w:r w:rsidR="005142F8" w:rsidRPr="005142F8">
        <w:rPr>
          <w:rFonts w:ascii="Times New Roman" w:hAnsi="Times New Roman"/>
          <w:color w:val="000000"/>
          <w:sz w:val="28"/>
          <w:szCs w:val="24"/>
        </w:rPr>
        <w:t xml:space="preserve">производными </w:t>
      </w:r>
      <w:proofErr w:type="spellStart"/>
      <w:r w:rsidR="005142F8" w:rsidRPr="005142F8">
        <w:rPr>
          <w:rFonts w:ascii="Times New Roman" w:hAnsi="Times New Roman"/>
          <w:color w:val="000000"/>
          <w:sz w:val="28"/>
          <w:szCs w:val="24"/>
        </w:rPr>
        <w:t>сульфонилмочевины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14:paraId="30EAFC85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i/>
          <w:color w:val="000000"/>
          <w:sz w:val="28"/>
          <w:szCs w:val="24"/>
        </w:rPr>
        <w:t xml:space="preserve">Варфарин 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14:paraId="41E6513C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При одновременном применении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дозе 500 мг два раза в день в течение 6 дней снижалась концентрация S-варфарина в плазме (субстрат CYP2C9) и R-варфарина (субстрат CYP3A4) на 30 %. Клинический опыт одновременного применения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с варфарином у пациентов с ЛАГ не </w:t>
      </w:r>
      <w:r w:rsidRPr="004020D4">
        <w:rPr>
          <w:rFonts w:ascii="Times New Roman" w:hAnsi="Times New Roman"/>
          <w:color w:val="000000"/>
          <w:sz w:val="28"/>
          <w:szCs w:val="24"/>
        </w:rPr>
        <w:lastRenderedPageBreak/>
        <w:t xml:space="preserve">приводит к клинически значимым изменениям согласно международному нормализованному отношению (МНО) или дозы варфарина (сравнение начала терапии и конца клинических исследований). Не требуется проводить коррекцию дозы варфарина или аналогичных </w:t>
      </w:r>
      <w:r w:rsidR="005142F8" w:rsidRPr="005142F8">
        <w:rPr>
          <w:rFonts w:ascii="Times New Roman" w:hAnsi="Times New Roman"/>
          <w:color w:val="000000"/>
          <w:sz w:val="28"/>
          <w:szCs w:val="24"/>
        </w:rPr>
        <w:t>пероральных антикоагулянтов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в начале терапии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, однако, рекомендуется более интенсивный контроль согласно МНО, особенно в начале терапии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Босфитом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 на этапе повышения дозы. </w:t>
      </w:r>
    </w:p>
    <w:p w14:paraId="3BC7393F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t>Симвастатин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14:paraId="64EC068B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Одновременное применение 125 мг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, дважды в день, в   течение 5 дней снижало концентрацию в плазме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симвастатина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(субстрат CYP3A4), и его активной формы -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гидроксикислоты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на 34 % и 46 %, соответственно. Одновременное применение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симвастатина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gramStart"/>
      <w:r w:rsidRPr="004020D4">
        <w:rPr>
          <w:rFonts w:ascii="Times New Roman" w:hAnsi="Times New Roman"/>
          <w:color w:val="000000"/>
          <w:sz w:val="28"/>
          <w:szCs w:val="24"/>
        </w:rPr>
        <w:t>не  влияло</w:t>
      </w:r>
      <w:proofErr w:type="gramEnd"/>
      <w:r w:rsidRPr="004020D4">
        <w:rPr>
          <w:rFonts w:ascii="Times New Roman" w:hAnsi="Times New Roman"/>
          <w:color w:val="000000"/>
          <w:sz w:val="28"/>
          <w:szCs w:val="24"/>
        </w:rPr>
        <w:t xml:space="preserve"> на уровни концентрации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крови. При </w:t>
      </w:r>
      <w:proofErr w:type="gramStart"/>
      <w:r w:rsidRPr="004020D4">
        <w:rPr>
          <w:rFonts w:ascii="Times New Roman" w:hAnsi="Times New Roman"/>
          <w:color w:val="000000"/>
          <w:sz w:val="28"/>
          <w:szCs w:val="24"/>
        </w:rPr>
        <w:t>совместном  применении</w:t>
      </w:r>
      <w:proofErr w:type="gramEnd"/>
      <w:r w:rsidRPr="004020D4">
        <w:rPr>
          <w:rFonts w:ascii="Times New Roman" w:hAnsi="Times New Roman"/>
          <w:color w:val="000000"/>
          <w:sz w:val="28"/>
          <w:szCs w:val="24"/>
        </w:rPr>
        <w:t xml:space="preserve"> рекомендуется проводить контроль уровня холестерина с    последующей коррекцией дозы. </w:t>
      </w:r>
    </w:p>
    <w:p w14:paraId="4DC3E879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t>Кетоконазол</w:t>
      </w:r>
      <w:proofErr w:type="spellEnd"/>
    </w:p>
    <w:p w14:paraId="6FBA4BF6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Одновременное применение 62,5 мг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дважды в день </w:t>
      </w:r>
      <w:proofErr w:type="gramStart"/>
      <w:r w:rsidRPr="004020D4">
        <w:rPr>
          <w:rFonts w:ascii="Times New Roman" w:hAnsi="Times New Roman"/>
          <w:color w:val="000000"/>
          <w:sz w:val="28"/>
          <w:szCs w:val="24"/>
        </w:rPr>
        <w:t>в  течение</w:t>
      </w:r>
      <w:proofErr w:type="gramEnd"/>
      <w:r w:rsidRPr="004020D4">
        <w:rPr>
          <w:rFonts w:ascii="Times New Roman" w:hAnsi="Times New Roman"/>
          <w:color w:val="000000"/>
          <w:sz w:val="28"/>
          <w:szCs w:val="24"/>
        </w:rPr>
        <w:t xml:space="preserve"> 6 дней с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кетоконазолом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, мощным ингибитором CYP3A4, приводило  примерно к 2-х кратному увеличению концентраций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. Корректировать дозу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Босфита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не требуется. </w:t>
      </w:r>
    </w:p>
    <w:p w14:paraId="59010CAF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В лабораторных исследованиях определено аналогичное увеличение концентрации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при комбинации с другими мощными ингибиторами CYP3A4 (например,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итраконазолом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ритонавиром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). В присутствии ингибитора CYP3A4, пациенты, у которых низкий метаболизм CYP2C9, подвергаются риску увеличения концентрации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крови.</w:t>
      </w:r>
    </w:p>
    <w:p w14:paraId="18507A35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i/>
          <w:color w:val="000000"/>
          <w:sz w:val="28"/>
          <w:szCs w:val="24"/>
        </w:rPr>
        <w:t>Дигоксин</w:t>
      </w:r>
    </w:p>
    <w:p w14:paraId="626CF48E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Одновременное применение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500 мг дважды в день в течение 7 дней с дигоксином снижало AUC,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C</w:t>
      </w:r>
      <w:r w:rsidRPr="004020D4">
        <w:rPr>
          <w:rFonts w:ascii="Times New Roman" w:hAnsi="Times New Roman"/>
          <w:color w:val="000000"/>
          <w:sz w:val="28"/>
          <w:szCs w:val="24"/>
          <w:vertAlign w:val="subscript"/>
        </w:rPr>
        <w:t>max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C</w:t>
      </w:r>
      <w:r w:rsidRPr="004020D4">
        <w:rPr>
          <w:rFonts w:ascii="Times New Roman" w:hAnsi="Times New Roman"/>
          <w:color w:val="000000"/>
          <w:sz w:val="28"/>
          <w:szCs w:val="24"/>
          <w:vertAlign w:val="subscript"/>
        </w:rPr>
        <w:t>min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дигоксина на 12 %, 9 % и 23 %, соответственно. Механизм этого взаимодействия может быть связан с индукцией гликопротеина P. Вероятно, это взаимодействие не имеет клинической значимости.</w:t>
      </w:r>
    </w:p>
    <w:p w14:paraId="08EED95C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t>Эпопростенол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14:paraId="4E1555DE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Профиль безопасности комбинации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с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эпопростенолом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не отличался от </w:t>
      </w:r>
      <w:r w:rsidR="00784208" w:rsidRPr="004020D4">
        <w:rPr>
          <w:rFonts w:ascii="Times New Roman" w:hAnsi="Times New Roman"/>
          <w:color w:val="000000"/>
          <w:sz w:val="28"/>
          <w:szCs w:val="24"/>
        </w:rPr>
        <w:t>той, которая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ожидается от каждого компонента, и комбинированная терапия хорошо переносится детьми и взрослыми. Клинический эффект комбинации не был продемонстрирован. </w:t>
      </w:r>
    </w:p>
    <w:p w14:paraId="238C0F60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t>Рифампицин</w:t>
      </w:r>
      <w:proofErr w:type="spellEnd"/>
    </w:p>
    <w:p w14:paraId="4F3694AA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При одновременном применении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дозе 125 мг два раза в день в течение 7 дней </w:t>
      </w:r>
      <w:r w:rsidR="00784208" w:rsidRPr="004020D4">
        <w:rPr>
          <w:rFonts w:ascii="Times New Roman" w:hAnsi="Times New Roman"/>
          <w:color w:val="000000"/>
          <w:sz w:val="28"/>
          <w:szCs w:val="24"/>
        </w:rPr>
        <w:t xml:space="preserve">и </w:t>
      </w:r>
      <w:proofErr w:type="spellStart"/>
      <w:r w:rsidR="00784208" w:rsidRPr="004020D4">
        <w:rPr>
          <w:rFonts w:ascii="Times New Roman" w:hAnsi="Times New Roman"/>
          <w:color w:val="000000"/>
          <w:sz w:val="28"/>
          <w:szCs w:val="24"/>
        </w:rPr>
        <w:t>рифампицина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(мощного индуктора CYP2C9 и CYP3A4) концентрация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уменьшилась на 58 %. В результате отмечается значительное снижение эффекта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Босфита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, если его вводят при одновременном приеме с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рифампицином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14:paraId="7BF21FD6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lastRenderedPageBreak/>
        <w:t>Силденафил</w:t>
      </w:r>
      <w:proofErr w:type="spellEnd"/>
      <w:r w:rsidRPr="004020D4">
        <w:rPr>
          <w:rFonts w:ascii="Times New Roman" w:hAnsi="Times New Roman"/>
          <w:i/>
          <w:color w:val="000000"/>
          <w:sz w:val="28"/>
          <w:szCs w:val="24"/>
        </w:rPr>
        <w:t xml:space="preserve"> 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14:paraId="12BC4C08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При одновременном применении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дозе 125 мг два раза в день (равновесная концентрация) 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силденафила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дозе 80 мг три раза в день отмечалось снижение AUC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силденафила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на 63 % и повышение AUC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на 50 %. Комбинация хорошо переносилась. Изменения концентрации в плазме крови не считались </w:t>
      </w:r>
      <w:proofErr w:type="gramStart"/>
      <w:r w:rsidRPr="004020D4">
        <w:rPr>
          <w:rFonts w:ascii="Times New Roman" w:hAnsi="Times New Roman"/>
          <w:color w:val="000000"/>
          <w:sz w:val="28"/>
          <w:szCs w:val="24"/>
        </w:rPr>
        <w:t>клинически значимыми</w:t>
      </w:r>
      <w:proofErr w:type="gram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 коррекция дозы не требуется.   </w:t>
      </w:r>
    </w:p>
    <w:p w14:paraId="5CBD88F9" w14:textId="77777777" w:rsidR="0090243E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t>Лопинавир</w:t>
      </w:r>
      <w:proofErr w:type="spellEnd"/>
      <w:r w:rsidRPr="004020D4">
        <w:rPr>
          <w:rFonts w:ascii="Times New Roman" w:hAnsi="Times New Roman"/>
          <w:i/>
          <w:color w:val="000000"/>
          <w:sz w:val="28"/>
          <w:szCs w:val="24"/>
        </w:rPr>
        <w:t>/</w:t>
      </w: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t>ритонавир</w:t>
      </w:r>
      <w:proofErr w:type="spellEnd"/>
      <w:r w:rsidRPr="004020D4">
        <w:rPr>
          <w:rFonts w:ascii="Times New Roman" w:hAnsi="Times New Roman"/>
          <w:i/>
          <w:color w:val="000000"/>
          <w:sz w:val="28"/>
          <w:szCs w:val="24"/>
        </w:rPr>
        <w:t xml:space="preserve"> (и другие </w:t>
      </w: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t>ритонавир</w:t>
      </w:r>
      <w:proofErr w:type="spellEnd"/>
      <w:r w:rsidRPr="004020D4">
        <w:rPr>
          <w:rFonts w:ascii="Times New Roman" w:hAnsi="Times New Roman"/>
          <w:i/>
          <w:color w:val="000000"/>
          <w:sz w:val="28"/>
          <w:szCs w:val="24"/>
        </w:rPr>
        <w:t>-усиливающие ингибиторы протеазы)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         </w:t>
      </w:r>
    </w:p>
    <w:p w14:paraId="6E3CAFE4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При одновременном применении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дозе 125 мг  два раза в день и комбинации с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лопинавир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>/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ритонавир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400/100 мг два раза в день в течение 9,5 дней минимальная начальная концентрация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крови была примерно в 48 раз выше по сравнению с уровнями, отмечавшимися при введении только одного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; на 10 - й день концентрация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плазме крови была в 5 раз выше, чем при ведении пациентов только на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бозентане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. При приеме одновременно с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лопинавир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+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ритонавир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или другими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ритонавир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- усиливающими ингибиторами протеазы, переносимость пациентом </w:t>
      </w:r>
      <w:proofErr w:type="spellStart"/>
      <w:proofErr w:type="gramStart"/>
      <w:r w:rsidRPr="004020D4">
        <w:rPr>
          <w:rFonts w:ascii="Times New Roman" w:hAnsi="Times New Roman"/>
          <w:color w:val="000000"/>
          <w:sz w:val="28"/>
          <w:szCs w:val="24"/>
        </w:rPr>
        <w:t>Босфита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 должна</w:t>
      </w:r>
      <w:proofErr w:type="gramEnd"/>
      <w:r w:rsidRPr="004020D4">
        <w:rPr>
          <w:rFonts w:ascii="Times New Roman" w:hAnsi="Times New Roman"/>
          <w:color w:val="000000"/>
          <w:sz w:val="28"/>
          <w:szCs w:val="24"/>
        </w:rPr>
        <w:t xml:space="preserve"> быть проверена. После одновременного применения с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в течении 9,5 дней системная экспозиция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лопинавира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ритонавира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уменьшалась до клинической в незначительной степени (примерно, на 14 % и 17 % соответственно). </w:t>
      </w:r>
    </w:p>
    <w:p w14:paraId="2934AC33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Соответствующие наблюдения рекомендуется проводить за ВИЧ -инфицированными при терапии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Босфитом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>.</w:t>
      </w:r>
    </w:p>
    <w:p w14:paraId="64BEE96E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i/>
          <w:color w:val="000000"/>
          <w:sz w:val="28"/>
          <w:szCs w:val="24"/>
        </w:rPr>
        <w:t>Другие антиретровирусные препараты</w:t>
      </w:r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14:paraId="0B0E170D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020D4">
        <w:rPr>
          <w:rFonts w:ascii="Times New Roman" w:hAnsi="Times New Roman"/>
          <w:color w:val="000000"/>
          <w:sz w:val="28"/>
          <w:szCs w:val="24"/>
        </w:rPr>
        <w:t xml:space="preserve">Нет конкретных рекомендаций в отношении других имеющихся антиретровирусных препаратов в связи с отсутствием данных. В связи с отмеченной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гепатотоксичностью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невирапина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, что может увеличить также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гепатотоксичность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>, эта комбинация не рекомендуется.</w:t>
      </w:r>
    </w:p>
    <w:p w14:paraId="36970B64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i/>
          <w:color w:val="000000"/>
          <w:sz w:val="28"/>
          <w:szCs w:val="24"/>
        </w:rPr>
        <w:t>Тадалафил</w:t>
      </w:r>
      <w:proofErr w:type="spellEnd"/>
    </w:p>
    <w:p w14:paraId="5B9CC19C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(125 мг два раза в день) снижал системное воздействие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тадалафила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(40 мг один раз в день) на 42% 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C</w:t>
      </w:r>
      <w:r w:rsidRPr="004020D4">
        <w:rPr>
          <w:rFonts w:ascii="Times New Roman" w:hAnsi="Times New Roman"/>
          <w:color w:val="000000"/>
          <w:sz w:val="28"/>
          <w:szCs w:val="24"/>
          <w:vertAlign w:val="subscript"/>
        </w:rPr>
        <w:t>max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на 27% после одновременного введения нескольких доз.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Тадалафил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не влиял на экспозицию (AUC и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C</w:t>
      </w:r>
      <w:r w:rsidRPr="004020D4">
        <w:rPr>
          <w:rFonts w:ascii="Times New Roman" w:hAnsi="Times New Roman"/>
          <w:color w:val="000000"/>
          <w:sz w:val="28"/>
          <w:szCs w:val="24"/>
          <w:vertAlign w:val="subscript"/>
        </w:rPr>
        <w:t>max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) </w:t>
      </w:r>
      <w:proofErr w:type="spellStart"/>
      <w:r w:rsidRPr="004020D4">
        <w:rPr>
          <w:rFonts w:ascii="Times New Roman" w:hAnsi="Times New Roman"/>
          <w:color w:val="000000"/>
          <w:sz w:val="28"/>
          <w:szCs w:val="24"/>
        </w:rPr>
        <w:t>бозентана</w:t>
      </w:r>
      <w:proofErr w:type="spellEnd"/>
      <w:r w:rsidRPr="004020D4">
        <w:rPr>
          <w:rFonts w:ascii="Times New Roman" w:hAnsi="Times New Roman"/>
          <w:color w:val="000000"/>
          <w:sz w:val="28"/>
          <w:szCs w:val="24"/>
        </w:rPr>
        <w:t xml:space="preserve"> или его метаболитов.</w:t>
      </w:r>
    </w:p>
    <w:p w14:paraId="27BC660C" w14:textId="77777777" w:rsidR="00D43297" w:rsidRPr="005142F8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01A3B52D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Соотношение польза/риск ещё не было изучено у пациентов с легочной артериальной гипертензией с функциональным классом 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val="en-US" w:eastAsia="ru-RU"/>
        </w:rPr>
        <w:t>I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по классификации ВОЗ.</w:t>
      </w:r>
    </w:p>
    <w:p w14:paraId="006A3886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Терапия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Босфитом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может быть назначена только, если систолическое кровяное давление выше 85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мм.рт.ст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.</w:t>
      </w:r>
    </w:p>
    <w:p w14:paraId="06071080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Терапия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Босфитом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оказалась неэффективна при лечении существующих язвенных поражениях.</w:t>
      </w:r>
    </w:p>
    <w:p w14:paraId="5810B6BB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i/>
          <w:spacing w:val="-3"/>
          <w:sz w:val="28"/>
          <w:szCs w:val="28"/>
          <w:lang w:eastAsia="ru-RU"/>
        </w:rPr>
        <w:t>Функция печени</w:t>
      </w:r>
    </w:p>
    <w:p w14:paraId="143F064A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lastRenderedPageBreak/>
        <w:t xml:space="preserve">В клинической практике, зависимое от дозы повышение уровня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аминотрансфераз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печени обычно происходит в течение первых 26 недель лечения, как правило, развивается постепенно, и в основном протекает бессимптомно. Повышение уровня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аминотрансфераз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может спонтанно вернуться к исходным уровням при продолжении лечения поддерживающей дозой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Босфитом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или после снижения дозы, но прерывание или прекращение терапии может быть необходимым. После выхода препарата на рынок в редких случаях сообщалось о циррозе печени или печеночной недостаточности. Механизм этого побочного эффекта неясен. Такое повышение может быть частично обусловлено конкурентным ингибированием в процессе выведения желчных кислот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гепатоцитами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. Однако к нарушениям функции печени может также приводить участие иных, еще не конца изученных механизмов. Накопление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в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гепатоцитах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, вызывающее цитолиз, который потенциально влечет за собой тяжелые поражения печени, или иммунный механизм также не исключаются из числа таких факторов. При одновременном применении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с другими ингибиторами, препятствующими экспорту желчных солей, как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рифампицин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,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глибенкламид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и циклоспорин А, риск нарушения печени увеличивается. Однако, доступная информация ограничена.</w:t>
      </w:r>
    </w:p>
    <w:p w14:paraId="50E103E6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</w:pPr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 xml:space="preserve">Уровни </w:t>
      </w:r>
      <w:proofErr w:type="spellStart"/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>аминотрансферазы</w:t>
      </w:r>
      <w:proofErr w:type="spellEnd"/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 xml:space="preserve"> печени должны быть измерены до инициирования лечения и впоследствии измеряться ежемесячно во время лечения </w:t>
      </w:r>
      <w:proofErr w:type="spellStart"/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>Босфитом</w:t>
      </w:r>
      <w:proofErr w:type="spellEnd"/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>. Уровень печеночных ферментов необходимо контролировать через 2 недели после увеличения дозы.</w:t>
      </w:r>
    </w:p>
    <w:p w14:paraId="635F5F2D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i/>
          <w:spacing w:val="-3"/>
          <w:sz w:val="28"/>
          <w:szCs w:val="28"/>
          <w:lang w:eastAsia="ru-RU"/>
        </w:rPr>
        <w:t>Рекомендации в случае увеличения АЛТ/AСТ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6"/>
        <w:gridCol w:w="5255"/>
      </w:tblGrid>
      <w:tr w:rsidR="004020D4" w:rsidRPr="005142F8" w14:paraId="022DA4A3" w14:textId="77777777" w:rsidTr="005142F8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2C45" w14:textId="77777777" w:rsidR="004020D4" w:rsidRPr="005142F8" w:rsidRDefault="004020D4" w:rsidP="00F64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Уровень АЛТ/AСТ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34A0" w14:textId="77777777" w:rsidR="004020D4" w:rsidRPr="005142F8" w:rsidRDefault="004020D4" w:rsidP="00F64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Трактовка и рекомендации по контролю</w:t>
            </w:r>
          </w:p>
        </w:tc>
      </w:tr>
      <w:tr w:rsidR="004020D4" w:rsidRPr="005142F8" w14:paraId="7A770E1C" w14:textId="77777777" w:rsidTr="005142F8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B1C5" w14:textId="77777777" w:rsidR="004020D4" w:rsidRPr="005142F8" w:rsidRDefault="004020D4" w:rsidP="00F64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&gt; 3 и </w:t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sym w:font="Symbol" w:char="F0A3"/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 5 </w:t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sym w:font="Symbol" w:char="F0B4"/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 ВПН (верхний предел нормы)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A105" w14:textId="77777777" w:rsidR="004020D4" w:rsidRPr="005142F8" w:rsidRDefault="004020D4" w:rsidP="00F64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Необходимо подтверждение другим печеночным тестом; если увеличение подтверждается, решение о продолжении терапии </w:t>
            </w:r>
            <w:proofErr w:type="spellStart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Босфитом</w:t>
            </w:r>
            <w:proofErr w:type="spellEnd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 должно быть на индивидуальной основе, рассматривается возможность применения меньшей дозы, или необходимо остановить применение </w:t>
            </w:r>
            <w:proofErr w:type="spellStart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Босфита</w:t>
            </w:r>
            <w:proofErr w:type="spellEnd"/>
            <w:r w:rsidRPr="005142F8">
              <w:rPr>
                <w:rFonts w:ascii="Times New Roman" w:eastAsia="Times New Roman" w:hAnsi="Times New Roman" w:hint="cs"/>
                <w:bCs/>
                <w:spacing w:val="-3"/>
                <w:sz w:val="28"/>
                <w:szCs w:val="28"/>
                <w:lang w:eastAsia="ru-RU"/>
              </w:rPr>
              <w:t>. Продолжите</w:t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rtl/>
                <w:lang w:eastAsia="ru-RU"/>
              </w:rPr>
              <w:t xml:space="preserve"> </w:t>
            </w:r>
            <w:r w:rsidRPr="005142F8">
              <w:rPr>
                <w:rFonts w:ascii="Times New Roman" w:eastAsia="Times New Roman" w:hAnsi="Times New Roman" w:hint="cs"/>
                <w:bCs/>
                <w:spacing w:val="-3"/>
                <w:sz w:val="28"/>
                <w:szCs w:val="28"/>
                <w:lang w:eastAsia="ru-RU"/>
              </w:rPr>
              <w:t xml:space="preserve">контролировать уровни </w:t>
            </w:r>
            <w:proofErr w:type="spellStart"/>
            <w:r w:rsidRPr="005142F8">
              <w:rPr>
                <w:rFonts w:ascii="Times New Roman" w:eastAsia="Times New Roman" w:hAnsi="Times New Roman" w:hint="cs"/>
                <w:bCs/>
                <w:spacing w:val="-3"/>
                <w:sz w:val="28"/>
                <w:szCs w:val="28"/>
                <w:lang w:eastAsia="ru-RU"/>
              </w:rPr>
              <w:t>аминотранс</w:t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-</w:t>
            </w:r>
            <w:r w:rsidRPr="005142F8">
              <w:rPr>
                <w:rFonts w:ascii="Times New Roman" w:eastAsia="Times New Roman" w:hAnsi="Times New Roman" w:hint="cs"/>
                <w:bCs/>
                <w:spacing w:val="-3"/>
                <w:sz w:val="28"/>
                <w:szCs w:val="28"/>
                <w:lang w:eastAsia="ru-RU"/>
              </w:rPr>
              <w:t>феразы</w:t>
            </w:r>
            <w:proofErr w:type="spellEnd"/>
            <w:r w:rsidRPr="005142F8">
              <w:rPr>
                <w:rFonts w:ascii="Times New Roman" w:eastAsia="Times New Roman" w:hAnsi="Times New Roman" w:hint="cs"/>
                <w:bCs/>
                <w:spacing w:val="-3"/>
                <w:sz w:val="28"/>
                <w:szCs w:val="28"/>
                <w:lang w:eastAsia="ru-RU"/>
              </w:rPr>
              <w:t>, по</w:t>
            </w:r>
            <w:r w:rsidRPr="005142F8">
              <w:rPr>
                <w:rFonts w:ascii="Times New Roman" w:eastAsia="Times New Roman" w:hAnsi="Times New Roman" w:hint="cs"/>
                <w:bCs/>
                <w:spacing w:val="-3"/>
                <w:sz w:val="28"/>
                <w:szCs w:val="28"/>
                <w:rtl/>
                <w:lang w:eastAsia="ru-RU"/>
              </w:rPr>
              <w:t xml:space="preserve"> </w:t>
            </w:r>
            <w:r w:rsidRPr="005142F8">
              <w:rPr>
                <w:rFonts w:ascii="Times New Roman" w:eastAsia="Times New Roman" w:hAnsi="Times New Roman" w:hint="cs"/>
                <w:bCs/>
                <w:spacing w:val="-3"/>
                <w:sz w:val="28"/>
                <w:szCs w:val="28"/>
                <w:lang w:eastAsia="ru-RU"/>
              </w:rPr>
              <w:t>крайней мере, каждые</w:t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       </w:t>
            </w:r>
            <w:r w:rsidRPr="005142F8">
              <w:rPr>
                <w:rFonts w:ascii="Times New Roman" w:eastAsia="Times New Roman" w:hAnsi="Times New Roman" w:hint="cs"/>
                <w:bCs/>
                <w:spacing w:val="-3"/>
                <w:sz w:val="28"/>
                <w:szCs w:val="28"/>
                <w:rtl/>
                <w:lang w:eastAsia="ru-RU"/>
              </w:rPr>
              <w:t xml:space="preserve"> </w:t>
            </w:r>
            <w:r w:rsidRPr="005142F8">
              <w:rPr>
                <w:rFonts w:ascii="Times New Roman" w:eastAsia="Times New Roman" w:hAnsi="Times New Roman" w:hint="cs"/>
                <w:bCs/>
                <w:spacing w:val="-3"/>
                <w:sz w:val="28"/>
                <w:szCs w:val="28"/>
                <w:lang w:eastAsia="ru-RU"/>
              </w:rPr>
              <w:t xml:space="preserve">2 недели. Если уровни </w:t>
            </w:r>
            <w:proofErr w:type="spellStart"/>
            <w:r w:rsidRPr="005142F8">
              <w:rPr>
                <w:rFonts w:ascii="Times New Roman" w:eastAsia="Times New Roman" w:hAnsi="Times New Roman" w:hint="cs"/>
                <w:bCs/>
                <w:spacing w:val="-3"/>
                <w:sz w:val="28"/>
                <w:szCs w:val="28"/>
                <w:lang w:eastAsia="ru-RU"/>
              </w:rPr>
              <w:t>аминотрансферазы</w:t>
            </w:r>
            <w:proofErr w:type="spellEnd"/>
            <w:r w:rsidRPr="005142F8">
              <w:rPr>
                <w:rFonts w:ascii="Times New Roman" w:eastAsia="Times New Roman" w:hAnsi="Times New Roman" w:hint="cs"/>
                <w:bCs/>
                <w:spacing w:val="-3"/>
                <w:sz w:val="28"/>
                <w:szCs w:val="28"/>
                <w:lang w:eastAsia="ru-RU"/>
              </w:rPr>
              <w:t xml:space="preserve"> возвращаются к начальному уровню, рассматривается вопрос о возможном продолжении или возо</w:t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бновлении применения </w:t>
            </w:r>
            <w:proofErr w:type="spellStart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Босфита</w:t>
            </w:r>
            <w:proofErr w:type="spellEnd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согласно условиям</w:t>
            </w:r>
            <w:proofErr w:type="gramEnd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 описанным ниже.</w:t>
            </w:r>
          </w:p>
        </w:tc>
      </w:tr>
      <w:tr w:rsidR="004020D4" w:rsidRPr="005142F8" w14:paraId="58B035C4" w14:textId="77777777" w:rsidTr="005142F8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4B72" w14:textId="77777777" w:rsidR="004020D4" w:rsidRPr="005142F8" w:rsidRDefault="004020D4" w:rsidP="00F64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&gt; 5 и </w:t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sym w:font="Symbol" w:char="F0A3"/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 8 </w:t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sym w:font="Symbol" w:char="F0B4"/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 ВПН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373E" w14:textId="77777777" w:rsidR="004020D4" w:rsidRPr="005142F8" w:rsidRDefault="004020D4" w:rsidP="00F64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Необходимо подтверждение другим печеночным тестом; если увеличение подтверждается, необходимо остановить </w:t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lastRenderedPageBreak/>
              <w:t xml:space="preserve">лечение и проводить контроль уровня </w:t>
            </w:r>
            <w:proofErr w:type="spellStart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аминотрансферазы</w:t>
            </w:r>
            <w:proofErr w:type="spellEnd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, по крайней мере, каждые 2 недели. Если уровни </w:t>
            </w:r>
            <w:proofErr w:type="spellStart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аминотрансферазы</w:t>
            </w:r>
            <w:proofErr w:type="spellEnd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 возвращаются к начальному уровню, рассматривается вопрос о возможном возобновлении применения </w:t>
            </w:r>
            <w:proofErr w:type="spellStart"/>
            <w:proofErr w:type="gramStart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Босфита</w:t>
            </w:r>
            <w:proofErr w:type="spellEnd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  согласно</w:t>
            </w:r>
            <w:proofErr w:type="gramEnd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 условиям описанным ниже.</w:t>
            </w:r>
          </w:p>
        </w:tc>
      </w:tr>
      <w:tr w:rsidR="004020D4" w:rsidRPr="005142F8" w14:paraId="167400FA" w14:textId="77777777" w:rsidTr="005142F8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7DEF" w14:textId="77777777" w:rsidR="004020D4" w:rsidRPr="005142F8" w:rsidRDefault="004020D4" w:rsidP="00F64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lastRenderedPageBreak/>
              <w:t>&gt; 8 </w:t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sym w:font="Symbol" w:char="F0B4"/>
            </w: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 ВПН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42F2" w14:textId="77777777" w:rsidR="004020D4" w:rsidRPr="005142F8" w:rsidRDefault="004020D4" w:rsidP="00F64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</w:pPr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Терапия должна быть прекращена и повторное возобновление применения </w:t>
            </w:r>
            <w:proofErr w:type="spellStart"/>
            <w:proofErr w:type="gramStart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>Босфита</w:t>
            </w:r>
            <w:proofErr w:type="spellEnd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  не</w:t>
            </w:r>
            <w:proofErr w:type="gramEnd"/>
            <w:r w:rsidRPr="005142F8">
              <w:rPr>
                <w:rFonts w:ascii="Times New Roman" w:eastAsia="Times New Roman" w:hAnsi="Times New Roman"/>
                <w:bCs/>
                <w:spacing w:val="-3"/>
                <w:sz w:val="28"/>
                <w:szCs w:val="28"/>
                <w:lang w:eastAsia="ru-RU"/>
              </w:rPr>
              <w:t xml:space="preserve"> рассматривается.</w:t>
            </w:r>
          </w:p>
        </w:tc>
      </w:tr>
    </w:tbl>
    <w:p w14:paraId="7B564019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>В случае возникновения клинических симптомов повреждения печени,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т.е., тошноты, рвоты, лихорадки, боли в животе, желтухи, необычной летаргии или усталости, подобного гриппу синдрома (артралгия, миалгия и лихорадка), </w:t>
      </w:r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 xml:space="preserve">терапия должна быть прекращена, и повторное возобновление применения </w:t>
      </w:r>
      <w:proofErr w:type="spellStart"/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>Босфита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 xml:space="preserve"> </w:t>
      </w:r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>не рассматривается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.</w:t>
      </w:r>
    </w:p>
    <w:p w14:paraId="36E608A7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i/>
          <w:spacing w:val="-3"/>
          <w:sz w:val="28"/>
          <w:szCs w:val="28"/>
          <w:lang w:eastAsia="ru-RU"/>
        </w:rPr>
        <w:t>Повторное включение в состав лечения</w:t>
      </w:r>
    </w:p>
    <w:p w14:paraId="31E6B507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Повторное включение в состав лечения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Босфита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необходимо рассматривать, если потенциальные выгоды лечения </w:t>
      </w:r>
      <w:proofErr w:type="spellStart"/>
      <w:r w:rsidR="005142F8"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Босфита</w:t>
      </w:r>
      <w:proofErr w:type="spellEnd"/>
      <w:r w:rsidR="005142F8"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перевешивают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потенциальные риски, и когда уровни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аминотрансферазы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печени возвращаются к начальному уровню. Рекомендуется консультация гепатологов. Повторное возобновление применения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Босфита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должно следовать руководящим принципам, изложенным в разделе </w:t>
      </w:r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  <w:t>Способ применения и дозы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. </w:t>
      </w:r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 xml:space="preserve">Уровни </w:t>
      </w:r>
      <w:proofErr w:type="spellStart"/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>аминотрансферазы</w:t>
      </w:r>
      <w:proofErr w:type="spellEnd"/>
      <w:r w:rsidRPr="005142F8">
        <w:rPr>
          <w:rFonts w:ascii="Times New Roman" w:eastAsia="Times New Roman" w:hAnsi="Times New Roman"/>
          <w:b/>
          <w:bCs/>
          <w:spacing w:val="-3"/>
          <w:sz w:val="28"/>
          <w:szCs w:val="28"/>
          <w:u w:val="single"/>
          <w:lang w:eastAsia="ru-RU"/>
        </w:rPr>
        <w:t xml:space="preserve"> должны контролироваться в течение 3 дней после повторного включения в состав терапии, и как можно чаще, согласно медицинскому показанию, до возвращения к регулярному контролю.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</w:t>
      </w:r>
    </w:p>
    <w:p w14:paraId="7ABB9685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ULN = верхний предел нормы</w:t>
      </w:r>
    </w:p>
    <w:p w14:paraId="098A6960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>Концентрация гемоглобина</w:t>
      </w:r>
    </w:p>
    <w:p w14:paraId="1DF9417F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Уменьшение концентрации гемоглобина при терапии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было в прямой зависимости от дозы. Известно, что уменьшения концентрации гемоглобина связанные с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не были прогрессивными, и стабилизировались после первых 4–12 недель лечения. В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постмаркетинговый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период сообщалось о случаях анемии, где требовалось переливание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эритроцитарной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массы. Рекомендуется концентрацию гемоглобина проверять перед началом терапии, ежемесячно во время первых четырех месяцев, а затем ежеквартально. Если происходит клинически соответствующее уменьшение концентрации гемоглобина, должна быть предпринята дальнейшая оценка и определение причины и потребности в определенном лечении. В начале терапии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пациентам на пероральных антикоагулянтах рекомендуется более интенсивный контроль МНО, особенно в начале применения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и на этапе повышения дозы. </w:t>
      </w:r>
    </w:p>
    <w:p w14:paraId="7E5272C2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>Женщины с детородным потенциалом</w:t>
      </w:r>
    </w:p>
    <w:p w14:paraId="3C098393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lastRenderedPageBreak/>
        <w:t xml:space="preserve">Поскольку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может повлиять на эффективность гормональных контрацептивов, и принимая во внимание риск ухудшения легочной гипертензии во время беременности, а также тератогенные эффекты, наблюдаемые у животных:</w:t>
      </w:r>
    </w:p>
    <w:p w14:paraId="5409650F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- Женщинам с детородным потенциалом не следует начинать лечение препаратом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Босфит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, если они не применяют надежные методы контрацепции и если результат теста на беременность перед началом лечения не является отрицательным</w:t>
      </w:r>
    </w:p>
    <w:p w14:paraId="0776D54E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- Гормональные контрацептивы не могут быть единственным методом контрацепции во время лечения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бозентаном</w:t>
      </w:r>
      <w:proofErr w:type="spellEnd"/>
    </w:p>
    <w:p w14:paraId="74E1D78A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- Во время лечения рекомендуется ежемесячно проводить тесты на беременность, чтобы обеспечить раннее выявление беременности.</w:t>
      </w:r>
    </w:p>
    <w:p w14:paraId="1716D0E8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 xml:space="preserve">Легочное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>веноокклюзионное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 xml:space="preserve"> заболевание</w:t>
      </w:r>
    </w:p>
    <w:p w14:paraId="61590CDA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Сообщалось о случаях легочных отеков у пациентов с легочным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веноокклюзионным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заболеванием (ЛВОБ) после лечения вазодилататорами (преимущественно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простациклином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). Если признаки отека легких прогрессируют после лечения препаратом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Босфит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у пациентов с ЛАГ, следует рассматривать возможность сопутствующего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веноокклюзионного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заболевания. Имеются отдельные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постмаркетинговые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отчеты о легочных отеках у пациентов с подозрениями на ЛВОБ, которые получали. </w:t>
      </w:r>
    </w:p>
    <w:p w14:paraId="304EE65B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>Л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val="x-none" w:eastAsia="ru-RU"/>
        </w:rPr>
        <w:t>егочн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>ая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val="x-none" w:eastAsia="ru-RU"/>
        </w:rPr>
        <w:t xml:space="preserve"> артериальн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>ая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val="x-none" w:eastAsia="ru-RU"/>
        </w:rPr>
        <w:t xml:space="preserve"> гипертензи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>я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val="x-none" w:eastAsia="ru-RU"/>
        </w:rPr>
        <w:t>, сопровождающ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>ая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val="x-none" w:eastAsia="ru-RU"/>
        </w:rPr>
        <w:t>ся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val="x-none" w:eastAsia="ru-RU"/>
        </w:rPr>
        <w:t xml:space="preserve"> недостаточностью функции левого желудочка</w:t>
      </w:r>
    </w:p>
    <w:p w14:paraId="5DE7FEC2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val="x-none"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Есть данные, что у пациентов с легочной артериальной гипертензией проявлялись периферические отеки и снижение уровня гемоглобина, но ухудшение состояния, которое повлияло бы на приток госпитализированных больных, не отмечалось. В одном из исследований с участием пациентов с тяжелым хроническим сердечным заболеванием, было отмечено увеличение случаев госпитализаций вследствие задержки жидкости сразу после начала терапии. 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val="x-none" w:eastAsia="ru-RU"/>
        </w:rPr>
        <w:t xml:space="preserve">Рекомендуется проводить мониторинг больных на наличие признаков задержки жидкости (например, увеличение массы тела) особенно, если у таких больных имеется сопутствующая систолическая дисфункция в тяжелой форме. В таких случаях на начальном этапе рекомендуется применение диуретиков или увеличение дозы уже применяющихся диуретических средств. Следует учесть возможность назначения диуретиков больным с признаками задержки жидкости перед проведением терапии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val="x-none" w:eastAsia="ru-RU"/>
        </w:rPr>
        <w:t>бозентаном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val="x-none" w:eastAsia="ru-RU"/>
        </w:rPr>
        <w:t>.</w:t>
      </w:r>
    </w:p>
    <w:p w14:paraId="2825402E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u w:val="single"/>
          <w:lang w:eastAsia="ru-RU"/>
        </w:rPr>
        <w:t>Легочная артериальная гипертензия, связанная с ВИЧ-инфекцией</w:t>
      </w:r>
    </w:p>
    <w:p w14:paraId="381BE72C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Имеется ограниченный клинический опыт применения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пациентами с ЛАГ, связанной с ВИЧ-инфекцией, получавших лечение антиретровирусными препаратами. При взаимодействии между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и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лопинавиром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+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ритонавир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было выявлено увеличение концентрации в плазме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. Когда лечение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инициируется у пациентов с одновременным приемом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ритонавир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-усиливающими ингибиторами </w:t>
      </w: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lastRenderedPageBreak/>
        <w:t xml:space="preserve">протеазы, переносимость пациентом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Босфита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следует тщательно контролировать. В связи с возможностью индуцирующего эффекта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, который может повлиять на эффективность антиретровирусной терапии, эти пациенты также должны находиться под тщательным наблюдением относительно ВИЧ-инфекции.</w:t>
      </w:r>
    </w:p>
    <w:p w14:paraId="2180613F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i/>
          <w:iCs/>
          <w:spacing w:val="-3"/>
          <w:sz w:val="28"/>
          <w:szCs w:val="28"/>
          <w:lang w:eastAsia="ru-RU"/>
        </w:rPr>
        <w:t>Легочная гипертензия, вторичная по отношению к хронической обструктивной болезни легких (ХОБЛ)</w:t>
      </w:r>
    </w:p>
    <w:p w14:paraId="551F74B1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Безопасность и переносимость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исследовали в предварительном неконтролируемом 12-недельном исследовании с участием 11 пациентов с легочной гипертензией, вторичной по отношению к тяжелой ХОБЛ (III стадия по классификации GOLD). Наблюдалось увеличение минутной вентиляции и снижение сатурации кислорода, а наиболее частым нежелательным явлением была одышка, которая исчезала после отмены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.</w:t>
      </w:r>
    </w:p>
    <w:p w14:paraId="32CC9D18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i/>
          <w:iCs/>
          <w:spacing w:val="-3"/>
          <w:sz w:val="28"/>
          <w:szCs w:val="28"/>
          <w:lang w:eastAsia="ru-RU"/>
        </w:rPr>
        <w:t>Одновременное применение с другими лекарственными средствами</w:t>
      </w:r>
    </w:p>
    <w:p w14:paraId="6EB35FAF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Одновременное применение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и циклоспорина А противопоказано.</w:t>
      </w:r>
    </w:p>
    <w:p w14:paraId="726A9EBA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Не рекомендуется одновременное применение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бозентана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с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глибенкламидом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, флуконазолом и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рифампицином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. </w:t>
      </w:r>
    </w:p>
    <w:p w14:paraId="7F5843F9" w14:textId="77777777" w:rsidR="004020D4" w:rsidRPr="005142F8" w:rsidRDefault="004020D4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Следует избегать одновременного применения ингибиторов CYP3A4 и CYP2C9 с </w:t>
      </w:r>
      <w:proofErr w:type="spellStart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Траклиром</w:t>
      </w:r>
      <w:proofErr w:type="spellEnd"/>
      <w:r w:rsidRPr="005142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.</w:t>
      </w:r>
    </w:p>
    <w:p w14:paraId="783491C7" w14:textId="77777777" w:rsidR="00D43297" w:rsidRPr="005142F8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142F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13C975E8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proofErr w:type="spellStart"/>
      <w:r w:rsidRPr="004020D4">
        <w:rPr>
          <w:rFonts w:ascii="Times New Roman" w:hAnsi="Times New Roman"/>
          <w:bCs/>
          <w:iCs/>
          <w:sz w:val="28"/>
          <w:szCs w:val="28"/>
        </w:rPr>
        <w:t>Бозентан</w:t>
      </w:r>
      <w:proofErr w:type="spellEnd"/>
      <w:r w:rsidRPr="004020D4">
        <w:rPr>
          <w:rFonts w:ascii="Times New Roman" w:hAnsi="Times New Roman"/>
          <w:bCs/>
          <w:iCs/>
          <w:sz w:val="28"/>
          <w:szCs w:val="28"/>
        </w:rPr>
        <w:t xml:space="preserve"> обладает тератогенным и </w:t>
      </w:r>
      <w:proofErr w:type="spellStart"/>
      <w:r w:rsidRPr="004020D4">
        <w:rPr>
          <w:rFonts w:ascii="Times New Roman" w:hAnsi="Times New Roman"/>
          <w:bCs/>
          <w:iCs/>
          <w:sz w:val="28"/>
          <w:szCs w:val="28"/>
        </w:rPr>
        <w:t>эмбриотоксическим</w:t>
      </w:r>
      <w:proofErr w:type="spellEnd"/>
      <w:r w:rsidRPr="004020D4">
        <w:rPr>
          <w:rFonts w:ascii="Times New Roman" w:hAnsi="Times New Roman"/>
          <w:bCs/>
          <w:iCs/>
          <w:sz w:val="28"/>
          <w:szCs w:val="28"/>
        </w:rPr>
        <w:t xml:space="preserve"> эффектами при применении у животных и поэтому не должен применяться во время беременности.</w:t>
      </w:r>
    </w:p>
    <w:p w14:paraId="32BD0D70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20D4">
        <w:rPr>
          <w:rFonts w:ascii="Times New Roman" w:hAnsi="Times New Roman"/>
          <w:bCs/>
          <w:iCs/>
          <w:sz w:val="28"/>
          <w:szCs w:val="28"/>
        </w:rPr>
        <w:t xml:space="preserve">Перед началом лечения </w:t>
      </w:r>
      <w:proofErr w:type="spellStart"/>
      <w:r w:rsidRPr="005142F8">
        <w:rPr>
          <w:rFonts w:ascii="Times New Roman" w:hAnsi="Times New Roman"/>
          <w:bCs/>
          <w:iCs/>
          <w:sz w:val="28"/>
          <w:szCs w:val="28"/>
        </w:rPr>
        <w:t>Босфитом</w:t>
      </w:r>
      <w:proofErr w:type="spellEnd"/>
      <w:r w:rsidRPr="005142F8">
        <w:rPr>
          <w:rFonts w:ascii="Times New Roman" w:hAnsi="Times New Roman"/>
          <w:bCs/>
          <w:iCs/>
          <w:sz w:val="28"/>
          <w:szCs w:val="28"/>
        </w:rPr>
        <w:t xml:space="preserve"> следует</w:t>
      </w:r>
      <w:r w:rsidRPr="004020D4">
        <w:rPr>
          <w:rFonts w:ascii="Times New Roman" w:hAnsi="Times New Roman"/>
          <w:bCs/>
          <w:iCs/>
          <w:sz w:val="28"/>
          <w:szCs w:val="28"/>
        </w:rPr>
        <w:t xml:space="preserve"> провести обследование, подтверждающее отсутствие беременности. </w:t>
      </w:r>
    </w:p>
    <w:p w14:paraId="19B95875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20D4">
        <w:rPr>
          <w:rFonts w:ascii="Times New Roman" w:hAnsi="Times New Roman"/>
          <w:bCs/>
          <w:iCs/>
          <w:sz w:val="28"/>
          <w:szCs w:val="28"/>
        </w:rPr>
        <w:t xml:space="preserve">Женщины детородного возраста должны пользоваться надежными средствами контрацепции во время терапии </w:t>
      </w:r>
      <w:proofErr w:type="spellStart"/>
      <w:r w:rsidRPr="004020D4">
        <w:rPr>
          <w:rFonts w:ascii="Times New Roman" w:hAnsi="Times New Roman"/>
          <w:bCs/>
          <w:iCs/>
          <w:sz w:val="28"/>
          <w:szCs w:val="28"/>
        </w:rPr>
        <w:t>Босфитом</w:t>
      </w:r>
      <w:proofErr w:type="spellEnd"/>
      <w:r w:rsidRPr="004020D4">
        <w:rPr>
          <w:rFonts w:ascii="Times New Roman" w:hAnsi="Times New Roman"/>
          <w:bCs/>
          <w:iCs/>
          <w:sz w:val="28"/>
          <w:szCs w:val="28"/>
        </w:rPr>
        <w:t xml:space="preserve"> и в течение не менее чем 3 месяцев после завершения терапии.</w:t>
      </w:r>
    </w:p>
    <w:p w14:paraId="76834104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4020D4">
        <w:rPr>
          <w:rFonts w:ascii="Times New Roman" w:hAnsi="Times New Roman"/>
          <w:bCs/>
          <w:iCs/>
          <w:sz w:val="28"/>
          <w:szCs w:val="28"/>
        </w:rPr>
        <w:t>Босфит</w:t>
      </w:r>
      <w:proofErr w:type="spellEnd"/>
      <w:r w:rsidRPr="004020D4">
        <w:rPr>
          <w:rFonts w:ascii="Times New Roman" w:hAnsi="Times New Roman"/>
          <w:bCs/>
          <w:iCs/>
          <w:sz w:val="28"/>
          <w:szCs w:val="28"/>
        </w:rPr>
        <w:t xml:space="preserve"> может снижать эффективность гормональных контрацептивных средств. По этой причине женщины детородного возраста не должны использовать метод гормональной контрацепции как единственный; необходимо применять дополнительный или альтернативный метод надежной контрацепции (внутриматочные устройства, барьерные методы). Следует обратиться к гинекологу для индивидуального подбора надежного метода контрацепции. Учитывая снижение эффективности гормональной контрацепции, и возможное негативное влияние беременности на течение заболевания, во время терапии </w:t>
      </w:r>
      <w:proofErr w:type="spellStart"/>
      <w:r w:rsidRPr="004020D4">
        <w:rPr>
          <w:rFonts w:ascii="Times New Roman" w:hAnsi="Times New Roman"/>
          <w:bCs/>
          <w:iCs/>
          <w:sz w:val="28"/>
          <w:szCs w:val="28"/>
        </w:rPr>
        <w:t>Босфитом</w:t>
      </w:r>
      <w:proofErr w:type="spellEnd"/>
      <w:r w:rsidRPr="004020D4">
        <w:rPr>
          <w:rFonts w:ascii="Times New Roman" w:hAnsi="Times New Roman"/>
          <w:bCs/>
          <w:iCs/>
          <w:sz w:val="28"/>
          <w:szCs w:val="28"/>
        </w:rPr>
        <w:t xml:space="preserve"> рекомендуется ежемесячно проводить тест на беременность.</w:t>
      </w:r>
    </w:p>
    <w:p w14:paraId="24621F5B" w14:textId="77777777" w:rsidR="004020D4" w:rsidRPr="005142F8" w:rsidRDefault="004020D4" w:rsidP="00844CE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20D4">
        <w:rPr>
          <w:rFonts w:ascii="Times New Roman" w:hAnsi="Times New Roman"/>
          <w:bCs/>
          <w:iCs/>
          <w:sz w:val="28"/>
          <w:szCs w:val="28"/>
        </w:rPr>
        <w:t xml:space="preserve">Не установлено, проникает ли </w:t>
      </w:r>
      <w:proofErr w:type="spellStart"/>
      <w:r w:rsidRPr="004020D4">
        <w:rPr>
          <w:rFonts w:ascii="Times New Roman" w:hAnsi="Times New Roman"/>
          <w:bCs/>
          <w:iCs/>
          <w:sz w:val="28"/>
          <w:szCs w:val="28"/>
        </w:rPr>
        <w:t>бозентан</w:t>
      </w:r>
      <w:proofErr w:type="spellEnd"/>
      <w:r w:rsidRPr="004020D4">
        <w:rPr>
          <w:rFonts w:ascii="Times New Roman" w:hAnsi="Times New Roman"/>
          <w:bCs/>
          <w:iCs/>
          <w:sz w:val="28"/>
          <w:szCs w:val="28"/>
        </w:rPr>
        <w:t xml:space="preserve"> в материнское молоко. Во время терапии </w:t>
      </w:r>
      <w:proofErr w:type="spellStart"/>
      <w:r w:rsidRPr="004020D4">
        <w:rPr>
          <w:rFonts w:ascii="Times New Roman" w:hAnsi="Times New Roman"/>
          <w:bCs/>
          <w:iCs/>
          <w:sz w:val="28"/>
          <w:szCs w:val="28"/>
        </w:rPr>
        <w:t>Босфитом</w:t>
      </w:r>
      <w:proofErr w:type="spellEnd"/>
      <w:r w:rsidRPr="004020D4">
        <w:rPr>
          <w:rFonts w:ascii="Times New Roman" w:hAnsi="Times New Roman"/>
          <w:bCs/>
          <w:iCs/>
          <w:sz w:val="28"/>
          <w:szCs w:val="28"/>
        </w:rPr>
        <w:t xml:space="preserve"> рекомендуется прекратить кормление грудью. </w:t>
      </w:r>
    </w:p>
    <w:p w14:paraId="6359A4EC" w14:textId="77777777" w:rsidR="00FA4F7C" w:rsidRPr="005142F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142F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0118DACA" w14:textId="77777777" w:rsidR="004020D4" w:rsidRPr="005142F8" w:rsidRDefault="004020D4" w:rsidP="00844CE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4020D4">
        <w:rPr>
          <w:rFonts w:ascii="Times New Roman" w:hAnsi="Times New Roman"/>
          <w:bCs/>
          <w:iCs/>
          <w:sz w:val="28"/>
          <w:szCs w:val="28"/>
        </w:rPr>
        <w:lastRenderedPageBreak/>
        <w:t xml:space="preserve">Никаких исследований о влиянии </w:t>
      </w:r>
      <w:proofErr w:type="spellStart"/>
      <w:r w:rsidR="005142F8" w:rsidRPr="004020D4">
        <w:rPr>
          <w:rFonts w:ascii="Times New Roman" w:hAnsi="Times New Roman"/>
          <w:bCs/>
          <w:iCs/>
          <w:sz w:val="28"/>
          <w:szCs w:val="28"/>
        </w:rPr>
        <w:t>Босфита</w:t>
      </w:r>
      <w:proofErr w:type="spellEnd"/>
      <w:r w:rsidR="005142F8" w:rsidRPr="004020D4">
        <w:rPr>
          <w:rFonts w:ascii="Times New Roman" w:hAnsi="Times New Roman"/>
          <w:bCs/>
          <w:iCs/>
          <w:sz w:val="28"/>
          <w:szCs w:val="28"/>
        </w:rPr>
        <w:t xml:space="preserve"> на</w:t>
      </w:r>
      <w:r w:rsidRPr="004020D4">
        <w:rPr>
          <w:rFonts w:ascii="Times New Roman" w:hAnsi="Times New Roman"/>
          <w:bCs/>
          <w:iCs/>
          <w:sz w:val="28"/>
          <w:szCs w:val="28"/>
        </w:rPr>
        <w:t xml:space="preserve"> способность управлять автомобилем и работать с механизмами не проводилось. </w:t>
      </w:r>
      <w:proofErr w:type="spellStart"/>
      <w:r w:rsidR="005142F8" w:rsidRPr="004020D4">
        <w:rPr>
          <w:rFonts w:ascii="Times New Roman" w:hAnsi="Times New Roman"/>
          <w:bCs/>
          <w:iCs/>
          <w:sz w:val="28"/>
          <w:szCs w:val="28"/>
        </w:rPr>
        <w:t>Босфит</w:t>
      </w:r>
      <w:proofErr w:type="spellEnd"/>
      <w:r w:rsidR="005142F8" w:rsidRPr="004020D4">
        <w:rPr>
          <w:rFonts w:ascii="Times New Roman" w:hAnsi="Times New Roman"/>
          <w:bCs/>
          <w:iCs/>
          <w:sz w:val="28"/>
          <w:szCs w:val="28"/>
        </w:rPr>
        <w:t xml:space="preserve"> может</w:t>
      </w:r>
      <w:r w:rsidRPr="004020D4">
        <w:rPr>
          <w:rFonts w:ascii="Times New Roman" w:hAnsi="Times New Roman"/>
          <w:bCs/>
          <w:iCs/>
          <w:sz w:val="28"/>
          <w:szCs w:val="28"/>
        </w:rPr>
        <w:t xml:space="preserve"> вызвать головокружение, что может повлиять на способность управлять автомобилем или работать с механизмами</w:t>
      </w:r>
      <w:r w:rsidRPr="004020D4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318E1DD2" w14:textId="77777777" w:rsidR="007D0E84" w:rsidRPr="005142F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1AE219" w14:textId="77777777" w:rsidR="00DB406A" w:rsidRPr="005142F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0660B223" w14:textId="77777777" w:rsidR="005C4B12" w:rsidRPr="005142F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2" w:name="2175220274"/>
      <w:r w:rsidRPr="005142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5142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469EAAC4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bookmarkStart w:id="3" w:name="2175220275"/>
      <w:bookmarkEnd w:id="2"/>
      <w:r w:rsidRPr="005142F8">
        <w:rPr>
          <w:rFonts w:ascii="Times New Roman" w:eastAsia="Times New Roman" w:hAnsi="Times New Roman"/>
          <w:i/>
          <w:sz w:val="28"/>
          <w:szCs w:val="28"/>
        </w:rPr>
        <w:t>Легочная артериальная гипертензия</w:t>
      </w:r>
    </w:p>
    <w:p w14:paraId="5009EC51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t>Лечение должно начинаться и контролироваться только врачом, имеющим опыт лечения ЛАГ. Для взрослых пациентов начальная доза 62,5 мг два раза в день в течение 4 недель, затем доза увеличивается до поддерживающей дозы 125 мг два раза в день.</w:t>
      </w:r>
      <w:r w:rsidRPr="00514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42F8">
        <w:rPr>
          <w:rFonts w:ascii="Times New Roman" w:eastAsia="Times New Roman" w:hAnsi="Times New Roman"/>
          <w:sz w:val="28"/>
          <w:szCs w:val="28"/>
        </w:rPr>
        <w:t xml:space="preserve">Те же рекомендации относятся к повторному введению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Босфита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после прерывания лечения.</w:t>
      </w:r>
    </w:p>
    <w:p w14:paraId="27BBD01F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t xml:space="preserve">Данные детской фармакокинетики показали, что концентрация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бозентана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в плазме крови у детей с ЛАГ в возрасте от 1 года до 15 лет была в среднем ниже, чем у взрослых пациентов, и не повышалась при увеличении дозы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бозентана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выше 2 мг/кг массы тела или увеличении частоты приема с двух до трех раз в день. Увеличение дозы или частоты приема препарата, скорее всего, не приведет к дополнительному клиническому эффекту. Основываясь на этих фармакокинетических результатах, при применении у детей с ЛАГ в возрасте 1 года и старше рекомендуемая начальная и поддерживающая доза составляет 2 мг/кг утром и вечером.</w:t>
      </w:r>
    </w:p>
    <w:p w14:paraId="6B2BEFEE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t xml:space="preserve">У новорожденных с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персистирующей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легочной гипертензией новорожденного польза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бозентана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при стандартном лечении не была доказана. Рекомендации по дозировке не могут быть даны.</w:t>
      </w:r>
    </w:p>
    <w:p w14:paraId="0FA05FEC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5142F8">
        <w:rPr>
          <w:rFonts w:ascii="Times New Roman" w:eastAsia="Times New Roman" w:hAnsi="Times New Roman"/>
          <w:i/>
          <w:sz w:val="28"/>
          <w:szCs w:val="28"/>
        </w:rPr>
        <w:t>Лечение в случае клинического ухудшения легочной артериальной гипертензии</w:t>
      </w:r>
    </w:p>
    <w:p w14:paraId="168C87ED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t xml:space="preserve">В случае клинического ухудшения (например, уменьшение расстояния в 6-минутной прогулочном тесте по крайней мере на 10% по сравнению с измерением до лечения), несмотря на лечение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Босфитом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в течение по крайней мере 8 недель (целевая доза в течение по крайней мере 4 недель), в этом случае должны рассматриваться альтернативные методы лечения. Тем не менее, некоторые пациенты, которые не показывают ответа после 8 недель лечения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Босфитом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>, могут дать положительный ответ после дополнительных 4-8 недель лечения.</w:t>
      </w:r>
    </w:p>
    <w:p w14:paraId="28474280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t xml:space="preserve">В случае позднего клинического ухудшения, несмотря на лечение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Босфитом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(то есть после нескольких месяцев лечения), лечение должно быть переоценено. Некоторые пациенты, плохо реагирующие на прием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Босфита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125 мг два раза в день, могут слегка улучшить свою физическую работоспособность, если увеличить дозу до 250 мг два раза в день. Следует тщательно оценить пользу/риск, принимая во внимание, что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гепатотоксичность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зависит от дозы.</w:t>
      </w:r>
    </w:p>
    <w:p w14:paraId="50CEF334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5142F8">
        <w:rPr>
          <w:rFonts w:ascii="Times New Roman" w:eastAsia="Times New Roman" w:hAnsi="Times New Roman"/>
          <w:i/>
          <w:sz w:val="28"/>
          <w:szCs w:val="28"/>
        </w:rPr>
        <w:t>Прекращение терапии</w:t>
      </w:r>
    </w:p>
    <w:p w14:paraId="2E54EF67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lastRenderedPageBreak/>
        <w:t xml:space="preserve">Имеется лишь ограниченный опыт наблюдений после резкого прекращения терапии </w:t>
      </w:r>
      <w:r w:rsidRPr="005142F8">
        <w:rPr>
          <w:rFonts w:ascii="Times New Roman" w:eastAsia="Times New Roman" w:hAnsi="Times New Roman"/>
          <w:sz w:val="28"/>
          <w:szCs w:val="28"/>
          <w:lang w:val="kk-KZ"/>
        </w:rPr>
        <w:t>бозентам</w:t>
      </w:r>
      <w:r w:rsidRPr="005142F8">
        <w:rPr>
          <w:rFonts w:ascii="Times New Roman" w:eastAsia="Times New Roman" w:hAnsi="Times New Roman"/>
          <w:sz w:val="28"/>
          <w:szCs w:val="28"/>
        </w:rPr>
        <w:t xml:space="preserve">. Нет сведений о серьезном обострении заболевания в результате такой отмены. Тем не менее, чтобы избежать угрозы ухудшения клинического состояния из-за возможного эффекта отмены, рекомендуется постепенно снижать дозу (уменьшая ее наполовину в течение 3-7 дней) одновременно с началом альтернативной терапии. Во время снижения дозы пациент должен находиться под постоянным наблюдением. </w:t>
      </w:r>
    </w:p>
    <w:p w14:paraId="0B711046" w14:textId="77777777" w:rsidR="004020D4" w:rsidRPr="005142F8" w:rsidRDefault="005142F8" w:rsidP="004020D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5142F8">
        <w:rPr>
          <w:rFonts w:ascii="Times New Roman" w:eastAsia="Times New Roman" w:hAnsi="Times New Roman"/>
          <w:i/>
          <w:sz w:val="28"/>
          <w:szCs w:val="28"/>
        </w:rPr>
        <w:t>Профилактика новых</w:t>
      </w:r>
      <w:r w:rsidR="004020D4" w:rsidRPr="005142F8">
        <w:rPr>
          <w:rFonts w:ascii="Times New Roman" w:eastAsia="Times New Roman" w:hAnsi="Times New Roman"/>
          <w:i/>
          <w:sz w:val="28"/>
          <w:szCs w:val="28"/>
        </w:rPr>
        <w:t xml:space="preserve"> язвенных поражений кожи на фоне </w:t>
      </w:r>
      <w:proofErr w:type="spellStart"/>
      <w:r w:rsidR="004020D4" w:rsidRPr="005142F8">
        <w:rPr>
          <w:rFonts w:ascii="Times New Roman" w:eastAsia="Times New Roman" w:hAnsi="Times New Roman"/>
          <w:i/>
          <w:sz w:val="28"/>
          <w:szCs w:val="28"/>
        </w:rPr>
        <w:t>склеродермической</w:t>
      </w:r>
      <w:proofErr w:type="spellEnd"/>
      <w:r w:rsidR="004020D4" w:rsidRPr="005142F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4020D4" w:rsidRPr="005142F8">
        <w:rPr>
          <w:rFonts w:ascii="Times New Roman" w:eastAsia="Times New Roman" w:hAnsi="Times New Roman"/>
          <w:i/>
          <w:sz w:val="28"/>
          <w:szCs w:val="28"/>
        </w:rPr>
        <w:t>акропатии</w:t>
      </w:r>
      <w:proofErr w:type="spellEnd"/>
      <w:r w:rsidR="004020D4" w:rsidRPr="005142F8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14:paraId="0B89F658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t>На начальном этапе терапию и наблюдение должен проводить только врач, имеющий опыт лечения системной склеродермии.</w:t>
      </w:r>
    </w:p>
    <w:p w14:paraId="46BC4830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t xml:space="preserve">У взрослых пациентов начальная доза должна </w:t>
      </w:r>
      <w:r w:rsidR="005142F8" w:rsidRPr="005142F8">
        <w:rPr>
          <w:rFonts w:ascii="Times New Roman" w:eastAsia="Times New Roman" w:hAnsi="Times New Roman"/>
          <w:sz w:val="28"/>
          <w:szCs w:val="28"/>
        </w:rPr>
        <w:t>составить 62</w:t>
      </w:r>
      <w:r w:rsidRPr="005142F8">
        <w:rPr>
          <w:rFonts w:ascii="Times New Roman" w:eastAsia="Times New Roman" w:hAnsi="Times New Roman"/>
          <w:sz w:val="28"/>
          <w:szCs w:val="28"/>
        </w:rPr>
        <w:t xml:space="preserve">,5 мг два раза в день в течение 4 недель, затем доза увеличивается до поддерживающей дозы 125 мг два раза в день. Опыт применения в данном показании ограничен до 6 месяцев. Те же рекомендации относятся к повторному введению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Босфита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после прерывания лечения. </w:t>
      </w:r>
      <w:r w:rsidR="005142F8" w:rsidRPr="005142F8">
        <w:rPr>
          <w:rFonts w:ascii="Times New Roman" w:eastAsia="Times New Roman" w:hAnsi="Times New Roman"/>
          <w:sz w:val="28"/>
          <w:szCs w:val="28"/>
        </w:rPr>
        <w:t>Ответ пациента</w:t>
      </w:r>
      <w:r w:rsidRPr="005142F8">
        <w:rPr>
          <w:rFonts w:ascii="Times New Roman" w:eastAsia="Times New Roman" w:hAnsi="Times New Roman"/>
          <w:sz w:val="28"/>
          <w:szCs w:val="28"/>
        </w:rPr>
        <w:t xml:space="preserve"> на лечение и необходимость продолжения терапии должна повторно </w:t>
      </w:r>
      <w:r w:rsidR="005142F8" w:rsidRPr="005142F8">
        <w:rPr>
          <w:rFonts w:ascii="Times New Roman" w:eastAsia="Times New Roman" w:hAnsi="Times New Roman"/>
          <w:sz w:val="28"/>
          <w:szCs w:val="28"/>
        </w:rPr>
        <w:t>оцениваться постоянно</w:t>
      </w:r>
      <w:r w:rsidRPr="005142F8">
        <w:rPr>
          <w:rFonts w:ascii="Times New Roman" w:eastAsia="Times New Roman" w:hAnsi="Times New Roman"/>
          <w:sz w:val="28"/>
          <w:szCs w:val="28"/>
        </w:rPr>
        <w:t>.</w:t>
      </w:r>
      <w:r w:rsidR="005142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42F8">
        <w:rPr>
          <w:rFonts w:ascii="Times New Roman" w:eastAsia="Times New Roman" w:hAnsi="Times New Roman"/>
          <w:sz w:val="28"/>
          <w:szCs w:val="28"/>
        </w:rPr>
        <w:t xml:space="preserve">Следует тщательно взвесить соотношение риска/пользы для больного с учетом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гепатотоксичности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бозентана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>.</w:t>
      </w:r>
    </w:p>
    <w:p w14:paraId="402A3872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t xml:space="preserve">Нет данных о безопасности и эффективности у пациентов в возрасте до 18 лет. Фармакокинетические данные по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бозентану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у детей раннего возраста с этим заболеванием отсутствуют.</w:t>
      </w:r>
    </w:p>
    <w:p w14:paraId="2EC4538B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5142F8">
        <w:rPr>
          <w:rFonts w:ascii="Times New Roman" w:eastAsia="Times New Roman" w:hAnsi="Times New Roman"/>
          <w:i/>
          <w:sz w:val="28"/>
          <w:szCs w:val="28"/>
        </w:rPr>
        <w:t>Доза при нарушении функции печени</w:t>
      </w:r>
    </w:p>
    <w:p w14:paraId="3CC5C514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t xml:space="preserve">Не требуется коррекции дозы для больных с легкими нарушениями функции печени (например, класс А по шкале Чайлд – Пью).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Босфит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противопоказан у пациентов с умеренной или тяжелой печеночной недостаточностью (например, класс В, С по шкале Чайлд – Пью). </w:t>
      </w:r>
    </w:p>
    <w:p w14:paraId="0A2651FB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5142F8">
        <w:rPr>
          <w:rFonts w:ascii="Times New Roman" w:eastAsia="Times New Roman" w:hAnsi="Times New Roman"/>
          <w:i/>
          <w:sz w:val="28"/>
          <w:szCs w:val="28"/>
        </w:rPr>
        <w:t>Доза при нарушении функции почек</w:t>
      </w:r>
    </w:p>
    <w:p w14:paraId="7B23C91F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t xml:space="preserve">Для больных с нарушениями функции почек не требуется проводить коррекцию дозы. Не требуется изменение дозы при проведении диализа. </w:t>
      </w:r>
    </w:p>
    <w:p w14:paraId="26E79A48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5142F8">
        <w:rPr>
          <w:rFonts w:ascii="Times New Roman" w:eastAsia="Times New Roman" w:hAnsi="Times New Roman"/>
          <w:i/>
          <w:sz w:val="28"/>
          <w:szCs w:val="28"/>
        </w:rPr>
        <w:t>Пожилые пациенты</w:t>
      </w:r>
    </w:p>
    <w:p w14:paraId="1E1684EA" w14:textId="77777777" w:rsidR="004020D4" w:rsidRPr="005142F8" w:rsidRDefault="004020D4" w:rsidP="00402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2F8">
        <w:rPr>
          <w:rFonts w:ascii="Times New Roman" w:eastAsia="Times New Roman" w:hAnsi="Times New Roman"/>
          <w:sz w:val="28"/>
          <w:szCs w:val="28"/>
        </w:rPr>
        <w:t xml:space="preserve">Данные по изучению негативного влияния 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</w:rPr>
        <w:t>Босфита</w:t>
      </w:r>
      <w:proofErr w:type="spellEnd"/>
      <w:r w:rsidRPr="005142F8">
        <w:rPr>
          <w:rFonts w:ascii="Times New Roman" w:eastAsia="Times New Roman" w:hAnsi="Times New Roman"/>
          <w:sz w:val="28"/>
          <w:szCs w:val="28"/>
        </w:rPr>
        <w:t xml:space="preserve"> на данную возрастную категорию (старше 65 лет) отсутствуют. </w:t>
      </w:r>
    </w:p>
    <w:p w14:paraId="60F5C6CB" w14:textId="77777777" w:rsidR="005C4B12" w:rsidRPr="005142F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5142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5142F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4FD84604" w14:textId="77777777" w:rsidR="004020D4" w:rsidRPr="004020D4" w:rsidRDefault="004020D4" w:rsidP="004020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bookmarkStart w:id="4" w:name="2175220276"/>
      <w:bookmarkEnd w:id="3"/>
      <w:r w:rsidRPr="004020D4">
        <w:rPr>
          <w:rFonts w:ascii="Times New Roman" w:hAnsi="Times New Roman"/>
          <w:color w:val="000000"/>
          <w:sz w:val="28"/>
          <w:szCs w:val="24"/>
        </w:rPr>
        <w:t>Таблетки следует принимать внутрь утром и вечером, с пищей или без нее. Таблетки, покрытые пленочной оболочкой, следует проглатывать, запивая водой.</w:t>
      </w:r>
    </w:p>
    <w:p w14:paraId="3702F35A" w14:textId="77777777" w:rsidR="00851C2E" w:rsidRPr="00851C2E" w:rsidRDefault="00851C2E" w:rsidP="00851C2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5" w:name="2175220282"/>
      <w:bookmarkEnd w:id="4"/>
      <w:r w:rsidRPr="00851C2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Меры, которые необходимо принять в случае передозировки </w:t>
      </w:r>
    </w:p>
    <w:p w14:paraId="073E8CC1" w14:textId="77777777" w:rsidR="00851C2E" w:rsidRPr="00851C2E" w:rsidRDefault="00851C2E" w:rsidP="00851C2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51C2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Симптомы:</w:t>
      </w:r>
      <w:r w:rsidRPr="00851C2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51C2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бозентан</w:t>
      </w:r>
      <w:proofErr w:type="spellEnd"/>
      <w:r w:rsidRPr="00851C2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принимался здоровыми добровольцами дозировкой до 2400 мг и пациентами, имевшими заболевания, отличные от легочной гипертензии дозировкой до 2000 мг/день в течение 2 месяцев. Головная боль от легкой до умеренной интенсивности была наиболее распространенным побочным эффектом. Тяжелая передозировка может привести к </w:t>
      </w:r>
      <w:r w:rsidRPr="00851C2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выраженной артериальной гипотонии, требующей активного кардиоваскулярного медицинского вмешательства. В пост-маркетинговый период поступило сообщение о передозировке </w:t>
      </w:r>
      <w:proofErr w:type="spellStart"/>
      <w:r w:rsidRPr="00851C2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бозентаном</w:t>
      </w:r>
      <w:proofErr w:type="spellEnd"/>
      <w:r w:rsidRPr="00851C2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подростка мужского пола, в организме которого находилось 10000 мг. У него проявились такие симптомы как тошнота, рвота, гипотензия, головокружение, потливость и ухудшение зрения. Восстановление наступило через 24 часа при поддержке кровяного давления. </w:t>
      </w:r>
    </w:p>
    <w:p w14:paraId="05AA7F6A" w14:textId="77777777" w:rsidR="00851C2E" w:rsidRDefault="00851C2E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51C2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Лечение:</w:t>
      </w:r>
      <w:r w:rsidRPr="00851C2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симптоматическая терапия. </w:t>
      </w:r>
      <w:proofErr w:type="spellStart"/>
      <w:r w:rsidRPr="00851C2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Бозентан</w:t>
      </w:r>
      <w:proofErr w:type="spellEnd"/>
      <w:r w:rsidRPr="00851C2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удаляется из организма путем гемодиализа.</w:t>
      </w:r>
    </w:p>
    <w:p w14:paraId="78E6BAEE" w14:textId="77777777" w:rsidR="00851C2E" w:rsidRPr="00851C2E" w:rsidRDefault="00851C2E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469E29DB" w14:textId="77777777" w:rsidR="001937AD" w:rsidRPr="005142F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5142F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5"/>
    <w:p w14:paraId="3CB897E4" w14:textId="77777777" w:rsidR="001937AD" w:rsidRPr="005142F8" w:rsidRDefault="001937AD" w:rsidP="00844CE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Очень часто </w:t>
      </w:r>
    </w:p>
    <w:p w14:paraId="10A7DDCC" w14:textId="77777777" w:rsidR="005C4B12" w:rsidRPr="005142F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</w:t>
      </w:r>
      <w:r w:rsidR="00F76DBE" w:rsidRPr="005142F8">
        <w:rPr>
          <w:rFonts w:ascii="Times New Roman" w:hAnsi="Times New Roman"/>
          <w:sz w:val="28"/>
          <w:szCs w:val="28"/>
        </w:rPr>
        <w:t>Головная боль</w:t>
      </w:r>
    </w:p>
    <w:p w14:paraId="12F49807" w14:textId="77777777" w:rsidR="005C4B12" w:rsidRPr="005142F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</w:t>
      </w:r>
      <w:r w:rsidR="00F76DBE" w:rsidRPr="005142F8">
        <w:rPr>
          <w:rFonts w:ascii="Times New Roman" w:hAnsi="Times New Roman"/>
          <w:sz w:val="28"/>
          <w:szCs w:val="28"/>
        </w:rPr>
        <w:t>Отклонения от нормы функционального теста печени</w:t>
      </w:r>
    </w:p>
    <w:p w14:paraId="4C7911DE" w14:textId="77777777" w:rsidR="00F76DBE" w:rsidRPr="005142F8" w:rsidRDefault="00F76DBE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>- Отеки, задержка жидкости</w:t>
      </w:r>
    </w:p>
    <w:p w14:paraId="5BAF5CDF" w14:textId="77777777" w:rsidR="001937AD" w:rsidRPr="005142F8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142F8">
        <w:rPr>
          <w:rFonts w:ascii="Times New Roman" w:hAnsi="Times New Roman"/>
          <w:i/>
          <w:sz w:val="28"/>
          <w:szCs w:val="28"/>
        </w:rPr>
        <w:t xml:space="preserve">Часто </w:t>
      </w:r>
    </w:p>
    <w:p w14:paraId="718AAE13" w14:textId="77777777" w:rsidR="005C4B12" w:rsidRPr="005142F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</w:t>
      </w:r>
      <w:r w:rsidR="00F76DBE" w:rsidRPr="005142F8">
        <w:rPr>
          <w:rFonts w:ascii="Times New Roman" w:hAnsi="Times New Roman"/>
          <w:sz w:val="28"/>
          <w:szCs w:val="28"/>
        </w:rPr>
        <w:t>Анемия, снижение гемоглобина</w:t>
      </w:r>
    </w:p>
    <w:p w14:paraId="704511A6" w14:textId="77777777" w:rsidR="005C4B12" w:rsidRPr="005142F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</w:t>
      </w:r>
      <w:r w:rsidR="00F76DBE" w:rsidRPr="005142F8">
        <w:rPr>
          <w:rFonts w:ascii="Times New Roman" w:hAnsi="Times New Roman"/>
          <w:sz w:val="28"/>
          <w:szCs w:val="28"/>
        </w:rPr>
        <w:t>Реакции гиперчувствительности (включая дерматит, зуд и сыпь)</w:t>
      </w:r>
    </w:p>
    <w:p w14:paraId="24C30C29" w14:textId="77777777" w:rsidR="00F76DBE" w:rsidRPr="005142F8" w:rsidRDefault="00F76DBE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>- Синкопе</w:t>
      </w:r>
    </w:p>
    <w:p w14:paraId="69B6484D" w14:textId="77777777" w:rsidR="00F76DBE" w:rsidRPr="005142F8" w:rsidRDefault="00F76DBE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>- Усиленное сердцебиение</w:t>
      </w:r>
    </w:p>
    <w:p w14:paraId="11008FC9" w14:textId="77777777" w:rsidR="00F76DBE" w:rsidRPr="005142F8" w:rsidRDefault="00F76DBE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>- Приливы</w:t>
      </w:r>
    </w:p>
    <w:p w14:paraId="5D98D561" w14:textId="77777777" w:rsidR="00F76DBE" w:rsidRPr="005142F8" w:rsidRDefault="00F76DBE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>- Гипотензия</w:t>
      </w:r>
    </w:p>
    <w:p w14:paraId="4B3ECF64" w14:textId="77777777" w:rsidR="00F76DBE" w:rsidRPr="005142F8" w:rsidRDefault="00F76DBE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>- Заложенность носа</w:t>
      </w:r>
    </w:p>
    <w:p w14:paraId="43A71169" w14:textId="77777777" w:rsidR="00F76DBE" w:rsidRPr="005142F8" w:rsidRDefault="00F76DBE" w:rsidP="00F76DBE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142F8">
        <w:rPr>
          <w:rFonts w:ascii="Times New Roman" w:hAnsi="Times New Roman"/>
          <w:sz w:val="28"/>
          <w:szCs w:val="28"/>
        </w:rPr>
        <w:t>Гастроэзофагеальная</w:t>
      </w:r>
      <w:proofErr w:type="spellEnd"/>
      <w:r w:rsidRPr="005142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42F8">
        <w:rPr>
          <w:rFonts w:ascii="Times New Roman" w:hAnsi="Times New Roman"/>
          <w:sz w:val="28"/>
          <w:szCs w:val="28"/>
        </w:rPr>
        <w:t>рефлюксная</w:t>
      </w:r>
      <w:proofErr w:type="spellEnd"/>
      <w:r w:rsidRPr="005142F8">
        <w:rPr>
          <w:rFonts w:ascii="Times New Roman" w:hAnsi="Times New Roman"/>
          <w:sz w:val="28"/>
          <w:szCs w:val="28"/>
        </w:rPr>
        <w:t xml:space="preserve"> болезнь, диарея</w:t>
      </w:r>
    </w:p>
    <w:p w14:paraId="7B53BA10" w14:textId="77777777" w:rsidR="00F76DBE" w:rsidRPr="005142F8" w:rsidRDefault="00F76DBE" w:rsidP="00F76DBE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>- Эритема</w:t>
      </w:r>
    </w:p>
    <w:p w14:paraId="5615FE9C" w14:textId="77777777" w:rsidR="00F40388" w:rsidRPr="005142F8" w:rsidRDefault="00F4038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142F8">
        <w:rPr>
          <w:rFonts w:ascii="Times New Roman" w:hAnsi="Times New Roman"/>
          <w:i/>
          <w:sz w:val="28"/>
          <w:szCs w:val="28"/>
        </w:rPr>
        <w:t xml:space="preserve">Нечасто </w:t>
      </w:r>
    </w:p>
    <w:p w14:paraId="24D577D2" w14:textId="77777777" w:rsidR="005C4B12" w:rsidRPr="005142F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</w:t>
      </w:r>
      <w:r w:rsidR="00C814A3" w:rsidRPr="005142F8">
        <w:rPr>
          <w:rFonts w:ascii="Times New Roman" w:hAnsi="Times New Roman"/>
          <w:sz w:val="28"/>
          <w:szCs w:val="28"/>
        </w:rPr>
        <w:t>Тромбоцитопения</w:t>
      </w:r>
    </w:p>
    <w:p w14:paraId="2C628244" w14:textId="77777777" w:rsidR="005C4B12" w:rsidRPr="005142F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814A3" w:rsidRPr="005142F8">
        <w:rPr>
          <w:rFonts w:ascii="Times New Roman" w:hAnsi="Times New Roman"/>
          <w:sz w:val="28"/>
          <w:szCs w:val="28"/>
        </w:rPr>
        <w:t>Нейтропения</w:t>
      </w:r>
      <w:proofErr w:type="spellEnd"/>
      <w:r w:rsidR="00C814A3" w:rsidRPr="005142F8">
        <w:rPr>
          <w:rFonts w:ascii="Times New Roman" w:hAnsi="Times New Roman"/>
          <w:sz w:val="28"/>
          <w:szCs w:val="28"/>
        </w:rPr>
        <w:t>, лейкопения</w:t>
      </w:r>
    </w:p>
    <w:p w14:paraId="5A2C2F69" w14:textId="77777777" w:rsidR="00C814A3" w:rsidRPr="005142F8" w:rsidRDefault="00C814A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Повышение уровня </w:t>
      </w:r>
      <w:proofErr w:type="spellStart"/>
      <w:r w:rsidRPr="005142F8">
        <w:rPr>
          <w:rFonts w:ascii="Times New Roman" w:hAnsi="Times New Roman"/>
          <w:sz w:val="28"/>
          <w:szCs w:val="28"/>
        </w:rPr>
        <w:t>аминотрансфераз</w:t>
      </w:r>
      <w:proofErr w:type="spellEnd"/>
      <w:r w:rsidRPr="005142F8">
        <w:rPr>
          <w:rFonts w:ascii="Times New Roman" w:hAnsi="Times New Roman"/>
          <w:sz w:val="28"/>
          <w:szCs w:val="28"/>
        </w:rPr>
        <w:t>, связанное с гепатитом (включая возможное обострение основного гепатита) и/или желтухой</w:t>
      </w:r>
    </w:p>
    <w:p w14:paraId="6C23BEA3" w14:textId="77777777" w:rsidR="001937AD" w:rsidRPr="005142F8" w:rsidRDefault="001937AD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5142F8">
        <w:rPr>
          <w:rFonts w:ascii="Times New Roman" w:hAnsi="Times New Roman"/>
          <w:i/>
          <w:sz w:val="28"/>
          <w:szCs w:val="28"/>
        </w:rPr>
        <w:t xml:space="preserve">Редко </w:t>
      </w:r>
    </w:p>
    <w:p w14:paraId="325557D8" w14:textId="77777777" w:rsidR="005C4B12" w:rsidRPr="005142F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</w:t>
      </w:r>
      <w:r w:rsidR="00C814A3" w:rsidRPr="005142F8">
        <w:rPr>
          <w:rFonts w:ascii="Times New Roman" w:hAnsi="Times New Roman"/>
          <w:sz w:val="28"/>
          <w:szCs w:val="28"/>
        </w:rPr>
        <w:t>Анафилаксия и/или ангионевротический отек</w:t>
      </w:r>
    </w:p>
    <w:p w14:paraId="0F17D137" w14:textId="77777777" w:rsidR="005C4B12" w:rsidRPr="005142F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</w:t>
      </w:r>
      <w:r w:rsidR="00C814A3" w:rsidRPr="005142F8">
        <w:rPr>
          <w:rFonts w:ascii="Times New Roman" w:hAnsi="Times New Roman"/>
          <w:sz w:val="28"/>
          <w:szCs w:val="28"/>
        </w:rPr>
        <w:t>Цирроз печени, печеночная недостаточность</w:t>
      </w:r>
    </w:p>
    <w:p w14:paraId="1FC1D2FF" w14:textId="77777777" w:rsidR="007E1A7B" w:rsidRPr="005142F8" w:rsidRDefault="007E1A7B" w:rsidP="007E1A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142F8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данных)</w:t>
      </w:r>
    </w:p>
    <w:p w14:paraId="69C833F6" w14:textId="77777777" w:rsidR="005C4B12" w:rsidRPr="005142F8" w:rsidRDefault="007E1A7B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</w:t>
      </w:r>
      <w:r w:rsidR="00C814A3" w:rsidRPr="005142F8">
        <w:rPr>
          <w:rFonts w:ascii="Times New Roman" w:hAnsi="Times New Roman"/>
          <w:sz w:val="28"/>
          <w:szCs w:val="28"/>
        </w:rPr>
        <w:t>Анемия или снижение гемоглобина требуют переливания эритроцитов</w:t>
      </w:r>
    </w:p>
    <w:p w14:paraId="407E4E77" w14:textId="77777777" w:rsidR="005C4B12" w:rsidRPr="005142F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- </w:t>
      </w:r>
      <w:r w:rsidR="00C814A3" w:rsidRPr="005142F8">
        <w:rPr>
          <w:rFonts w:ascii="Times New Roman" w:hAnsi="Times New Roman"/>
          <w:sz w:val="28"/>
          <w:szCs w:val="28"/>
        </w:rPr>
        <w:t>Помутнение зрение</w:t>
      </w:r>
    </w:p>
    <w:p w14:paraId="48950CDD" w14:textId="77777777" w:rsidR="0041162E" w:rsidRPr="005142F8" w:rsidRDefault="0041162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1B47C4" w14:textId="77777777" w:rsidR="00827BB2" w:rsidRPr="005142F8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5142F8">
        <w:rPr>
          <w:rFonts w:ascii="Times New Roman" w:hAnsi="Times New Roman"/>
          <w:b/>
          <w:color w:val="000000"/>
          <w:sz w:val="28"/>
        </w:rPr>
        <w:t>П</w:t>
      </w:r>
      <w:r w:rsidR="00D93C80" w:rsidRPr="005142F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 w:rsidRPr="005142F8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5142F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</w:t>
      </w:r>
      <w:r w:rsidR="00D93C80" w:rsidRPr="005142F8">
        <w:rPr>
          <w:rFonts w:ascii="Times New Roman" w:hAnsi="Times New Roman"/>
          <w:b/>
          <w:color w:val="000000"/>
          <w:sz w:val="28"/>
        </w:rPr>
        <w:lastRenderedPageBreak/>
        <w:t>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5142F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469CD6A3" w14:textId="77777777" w:rsidR="006703A5" w:rsidRPr="005142F8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084813" w:rsidRPr="005142F8">
        <w:rPr>
          <w:rFonts w:ascii="Times New Roman" w:hAnsi="Times New Roman"/>
          <w:sz w:val="28"/>
          <w:szCs w:val="28"/>
        </w:rPr>
        <w:t xml:space="preserve">Комитета медицинского и фармацевтического контроля </w:t>
      </w:r>
      <w:r w:rsidRPr="005142F8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09E2FA0B" w14:textId="77777777" w:rsidR="006703A5" w:rsidRPr="005142F8" w:rsidRDefault="00ED4E86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5142F8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5142F8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5142F8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5142F8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5142F8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5142F8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5142F8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639F2EC4" w14:textId="77777777" w:rsidR="006703A5" w:rsidRPr="005142F8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D20CF0" w14:textId="77777777" w:rsidR="000C2C4B" w:rsidRPr="005142F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51473711" w14:textId="77777777" w:rsidR="006B7A90" w:rsidRPr="005142F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6" w:name="2175220285"/>
      <w:r w:rsidRPr="005142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5142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341865F6" w14:textId="77777777" w:rsidR="006B7A90" w:rsidRPr="005142F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7" w:name="2175220286"/>
      <w:bookmarkEnd w:id="6"/>
      <w:r w:rsidRPr="005142F8">
        <w:rPr>
          <w:rFonts w:ascii="Times New Roman" w:eastAsia="Times New Roman" w:hAnsi="Times New Roman"/>
          <w:bCs/>
          <w:sz w:val="28"/>
          <w:szCs w:val="28"/>
          <w:lang w:eastAsia="ru-RU"/>
        </w:rPr>
        <w:t>Одна таблетка</w:t>
      </w:r>
      <w:r w:rsidR="00C814A3" w:rsidRPr="005142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142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содержит </w:t>
      </w:r>
    </w:p>
    <w:p w14:paraId="270C5F97" w14:textId="77777777" w:rsidR="006B7A90" w:rsidRPr="005142F8" w:rsidRDefault="00844CE8" w:rsidP="00C814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активное вещество -</w:t>
      </w:r>
      <w:r w:rsidR="00BB54E2" w:rsidRPr="005142F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C814A3" w:rsidRPr="005142F8">
        <w:rPr>
          <w:rFonts w:ascii="Times New Roman" w:eastAsia="Times New Roman" w:hAnsi="Times New Roman"/>
          <w:bCs/>
          <w:sz w:val="28"/>
          <w:szCs w:val="28"/>
          <w:lang w:eastAsia="ru-RU"/>
        </w:rPr>
        <w:t>бозентана</w:t>
      </w:r>
      <w:proofErr w:type="spellEnd"/>
      <w:r w:rsidR="00C814A3" w:rsidRPr="005142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моногидрат эквивалентно </w:t>
      </w:r>
      <w:proofErr w:type="spellStart"/>
      <w:r w:rsidR="00C814A3" w:rsidRPr="005142F8">
        <w:rPr>
          <w:rFonts w:ascii="Times New Roman" w:eastAsia="Times New Roman" w:hAnsi="Times New Roman"/>
          <w:bCs/>
          <w:sz w:val="28"/>
          <w:szCs w:val="28"/>
          <w:lang w:eastAsia="ru-RU"/>
        </w:rPr>
        <w:t>бозентану</w:t>
      </w:r>
      <w:proofErr w:type="spellEnd"/>
      <w:r w:rsidR="00C814A3" w:rsidRPr="005142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125 мг;</w:t>
      </w:r>
    </w:p>
    <w:p w14:paraId="20BBF9CD" w14:textId="77777777" w:rsidR="00C814A3" w:rsidRPr="00C814A3" w:rsidRDefault="006B7A90" w:rsidP="00C814A3">
      <w:pPr>
        <w:spacing w:after="0" w:line="240" w:lineRule="auto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5142F8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C814A3"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крахмал </w:t>
      </w:r>
      <w:proofErr w:type="spellStart"/>
      <w:r w:rsidR="00C814A3" w:rsidRPr="005142F8">
        <w:rPr>
          <w:rFonts w:ascii="Times New Roman" w:hAnsi="Times New Roman"/>
          <w:bCs/>
          <w:iCs/>
          <w:spacing w:val="-2"/>
          <w:sz w:val="28"/>
          <w:szCs w:val="28"/>
        </w:rPr>
        <w:t>прежелатинизированный</w:t>
      </w:r>
      <w:proofErr w:type="spellEnd"/>
      <w:r w:rsidR="00C814A3"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, </w:t>
      </w:r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>крахмал кукурузный,</w:t>
      </w:r>
      <w:r w:rsidR="00C814A3"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 xml:space="preserve">натрия крахмала </w:t>
      </w:r>
      <w:proofErr w:type="spellStart"/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>гликолят</w:t>
      </w:r>
      <w:proofErr w:type="spellEnd"/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 xml:space="preserve"> (тип А),</w:t>
      </w:r>
      <w:r w:rsidR="00C814A3"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>кросповидон</w:t>
      </w:r>
      <w:proofErr w:type="spellEnd"/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 xml:space="preserve"> (Тип В), </w:t>
      </w:r>
      <w:proofErr w:type="spellStart"/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>повидон</w:t>
      </w:r>
      <w:proofErr w:type="spellEnd"/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 xml:space="preserve"> (К- 90),</w:t>
      </w:r>
      <w:r w:rsidR="00C814A3"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 xml:space="preserve">глицерина </w:t>
      </w:r>
      <w:proofErr w:type="spellStart"/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>дибегенат</w:t>
      </w:r>
      <w:proofErr w:type="spellEnd"/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 xml:space="preserve">, магния </w:t>
      </w:r>
      <w:proofErr w:type="spellStart"/>
      <w:r w:rsidR="00C814A3" w:rsidRPr="00C814A3">
        <w:rPr>
          <w:rFonts w:ascii="Times New Roman" w:hAnsi="Times New Roman"/>
          <w:bCs/>
          <w:iCs/>
          <w:spacing w:val="-2"/>
          <w:sz w:val="28"/>
          <w:szCs w:val="28"/>
        </w:rPr>
        <w:t>стеарат</w:t>
      </w:r>
      <w:proofErr w:type="spellEnd"/>
      <w:r w:rsidR="00C814A3" w:rsidRPr="005142F8">
        <w:rPr>
          <w:rFonts w:ascii="Times New Roman" w:hAnsi="Times New Roman"/>
          <w:bCs/>
          <w:iCs/>
          <w:spacing w:val="-2"/>
          <w:sz w:val="28"/>
          <w:szCs w:val="28"/>
        </w:rPr>
        <w:t>;</w:t>
      </w:r>
    </w:p>
    <w:p w14:paraId="666AEE0F" w14:textId="77777777" w:rsidR="00C814A3" w:rsidRPr="00C814A3" w:rsidRDefault="00C814A3" w:rsidP="00C814A3">
      <w:pPr>
        <w:spacing w:after="0" w:line="240" w:lineRule="auto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C814A3">
        <w:rPr>
          <w:rFonts w:ascii="Times New Roman" w:hAnsi="Times New Roman"/>
          <w:bCs/>
          <w:i/>
          <w:iCs/>
          <w:spacing w:val="-2"/>
          <w:sz w:val="28"/>
          <w:szCs w:val="28"/>
        </w:rPr>
        <w:t>состав оболочки</w:t>
      </w:r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C814A3">
        <w:rPr>
          <w:rFonts w:ascii="Times New Roman" w:hAnsi="Times New Roman"/>
          <w:bCs/>
          <w:iCs/>
          <w:spacing w:val="-2"/>
          <w:sz w:val="28"/>
          <w:szCs w:val="28"/>
          <w:lang w:val="en-US"/>
        </w:rPr>
        <w:t>Insta</w:t>
      </w:r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C814A3">
        <w:rPr>
          <w:rFonts w:ascii="Times New Roman" w:hAnsi="Times New Roman"/>
          <w:bCs/>
          <w:iCs/>
          <w:spacing w:val="-2"/>
          <w:sz w:val="28"/>
          <w:szCs w:val="28"/>
          <w:lang w:val="en-US"/>
        </w:rPr>
        <w:t>moistshield</w:t>
      </w:r>
      <w:proofErr w:type="spellEnd"/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C814A3">
        <w:rPr>
          <w:rFonts w:ascii="Times New Roman" w:hAnsi="Times New Roman"/>
          <w:bCs/>
          <w:iCs/>
          <w:spacing w:val="-2"/>
          <w:sz w:val="28"/>
          <w:szCs w:val="28"/>
          <w:lang w:val="en-US"/>
        </w:rPr>
        <w:t>ICE</w:t>
      </w:r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C814A3">
        <w:rPr>
          <w:rFonts w:ascii="Times New Roman" w:hAnsi="Times New Roman"/>
          <w:bCs/>
          <w:iCs/>
          <w:spacing w:val="-2"/>
          <w:sz w:val="28"/>
          <w:szCs w:val="28"/>
          <w:lang w:val="en-US"/>
        </w:rPr>
        <w:t>MS</w:t>
      </w:r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>-0148:</w:t>
      </w:r>
      <w:r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>гипромеллоза</w:t>
      </w:r>
      <w:proofErr w:type="spellEnd"/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>,</w:t>
      </w:r>
      <w:r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>этилцеллюлоза</w:t>
      </w:r>
      <w:proofErr w:type="spellEnd"/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>,</w:t>
      </w:r>
      <w:r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>триацетин</w:t>
      </w:r>
      <w:proofErr w:type="spellEnd"/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>,</w:t>
      </w:r>
      <w:r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>тальк,</w:t>
      </w:r>
      <w:r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>титана диоксид (Е171),</w:t>
      </w:r>
      <w:r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>железа оксид желтый (Е172),</w:t>
      </w:r>
      <w:r w:rsidRPr="005142F8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C814A3">
        <w:rPr>
          <w:rFonts w:ascii="Times New Roman" w:hAnsi="Times New Roman"/>
          <w:bCs/>
          <w:iCs/>
          <w:spacing w:val="-2"/>
          <w:sz w:val="28"/>
          <w:szCs w:val="28"/>
        </w:rPr>
        <w:t>железа оксид красный (Е172).</w:t>
      </w:r>
      <w:r w:rsidRPr="00C814A3">
        <w:rPr>
          <w:rFonts w:ascii="Times New Roman" w:hAnsi="Times New Roman"/>
          <w:iCs/>
          <w:spacing w:val="-2"/>
          <w:sz w:val="28"/>
          <w:szCs w:val="28"/>
        </w:rPr>
        <w:t xml:space="preserve">  </w:t>
      </w:r>
    </w:p>
    <w:p w14:paraId="2F3BA552" w14:textId="77777777" w:rsidR="00C91310" w:rsidRPr="005142F8" w:rsidRDefault="00C9131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1E41F589" w14:textId="77777777" w:rsidR="006B7A90" w:rsidRPr="005142F8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bookmarkEnd w:id="7"/>
    <w:p w14:paraId="63754BD4" w14:textId="77777777" w:rsidR="006D5B76" w:rsidRPr="005142F8" w:rsidRDefault="00BB54E2" w:rsidP="006D5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2F8">
        <w:rPr>
          <w:rFonts w:ascii="Times New Roman" w:eastAsia="Times New Roman" w:hAnsi="Times New Roman"/>
          <w:sz w:val="28"/>
          <w:szCs w:val="28"/>
          <w:lang w:eastAsia="ru-RU"/>
        </w:rPr>
        <w:t>Таблетки овальной формы, двояковыпуклые, покрытые пленочной оболочкой оранжево-белого цвета, с гравировкой 'К' на одной стороне и '22' на другой стороне, разделенные линией разлома.</w:t>
      </w:r>
    </w:p>
    <w:p w14:paraId="25EAF3A9" w14:textId="77777777" w:rsidR="006B7A90" w:rsidRPr="005142F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926699" w14:textId="77777777" w:rsidR="00C9308C" w:rsidRPr="005142F8" w:rsidRDefault="00C9308C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2175220287"/>
      <w:proofErr w:type="gramStart"/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Форма  выпуска</w:t>
      </w:r>
      <w:proofErr w:type="gramEnd"/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и упаковка</w:t>
      </w:r>
    </w:p>
    <w:p w14:paraId="2876CB02" w14:textId="77777777" w:rsidR="006D5B76" w:rsidRPr="005142F8" w:rsidRDefault="00BB54E2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sz w:val="28"/>
          <w:szCs w:val="28"/>
          <w:lang w:eastAsia="ru-RU"/>
        </w:rPr>
        <w:t>По 7 таблеток помещают в контурную ячейковую упаковку из пленки поливинилхлоридной/полиэтиленовой/</w:t>
      </w:r>
      <w:proofErr w:type="spellStart"/>
      <w:r w:rsidRPr="005142F8">
        <w:rPr>
          <w:rFonts w:ascii="Times New Roman" w:eastAsia="Times New Roman" w:hAnsi="Times New Roman"/>
          <w:sz w:val="28"/>
          <w:szCs w:val="28"/>
          <w:lang w:eastAsia="ru-RU"/>
        </w:rPr>
        <w:t>поливинилдихлоридной</w:t>
      </w:r>
      <w:proofErr w:type="spellEnd"/>
      <w:r w:rsidRPr="005142F8">
        <w:rPr>
          <w:rFonts w:ascii="Times New Roman" w:eastAsia="Times New Roman" w:hAnsi="Times New Roman"/>
          <w:sz w:val="28"/>
          <w:szCs w:val="28"/>
          <w:lang w:eastAsia="ru-RU"/>
        </w:rPr>
        <w:t xml:space="preserve"> и фольги алюминиевой. По 8 контурных ячейковых упаковок вместе с инструкцией по медицинскому применению на казахском и русском языках помещают в пачку из картона.</w:t>
      </w:r>
    </w:p>
    <w:p w14:paraId="7056D3E1" w14:textId="77777777" w:rsidR="00BB54E2" w:rsidRPr="005142F8" w:rsidRDefault="00BB54E2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0B5BDE" w14:textId="77777777" w:rsidR="00844CE8" w:rsidRPr="005142F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4D03AAD" w14:textId="77777777" w:rsidR="00BB54E2" w:rsidRPr="005142F8" w:rsidRDefault="00BB54E2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sz w:val="28"/>
          <w:szCs w:val="28"/>
          <w:lang w:eastAsia="ru-RU"/>
        </w:rPr>
        <w:t>3 года</w:t>
      </w:r>
    </w:p>
    <w:p w14:paraId="6367CF52" w14:textId="77777777" w:rsidR="000E01AB" w:rsidRPr="005142F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5142F8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5142F8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5142F8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5142F8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208959C7" w14:textId="77777777" w:rsidR="00DC33F0" w:rsidRPr="005142F8" w:rsidRDefault="00DC33F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9" w:name="2175220288"/>
      <w:bookmarkEnd w:id="8"/>
    </w:p>
    <w:p w14:paraId="5045EABA" w14:textId="77777777" w:rsidR="000E01AB" w:rsidRPr="005142F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254ACDB2" w14:textId="77777777" w:rsidR="00BB54E2" w:rsidRPr="00BB54E2" w:rsidRDefault="00BB54E2" w:rsidP="00BB54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B54E2">
        <w:rPr>
          <w:rFonts w:ascii="Times New Roman" w:hAnsi="Times New Roman"/>
          <w:color w:val="000000"/>
          <w:sz w:val="28"/>
          <w:szCs w:val="28"/>
        </w:rPr>
        <w:t xml:space="preserve">Хранить в сухом, защищенном от света месте при температуре не выше 25 </w:t>
      </w:r>
      <w:r w:rsidRPr="00BB54E2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Pr="00BB54E2">
        <w:rPr>
          <w:rFonts w:ascii="Times New Roman" w:hAnsi="Times New Roman"/>
          <w:color w:val="000000"/>
          <w:sz w:val="28"/>
          <w:szCs w:val="28"/>
        </w:rPr>
        <w:t>С.</w:t>
      </w:r>
    </w:p>
    <w:p w14:paraId="41C1DD43" w14:textId="77777777" w:rsidR="00D14D61" w:rsidRPr="005142F8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2F8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0" w:name="2175220289"/>
      <w:bookmarkEnd w:id="9"/>
    </w:p>
    <w:bookmarkEnd w:id="10"/>
    <w:p w14:paraId="455224A3" w14:textId="77777777" w:rsidR="006B7A90" w:rsidRPr="005142F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545E1F" w14:textId="77777777" w:rsidR="00F545E0" w:rsidRPr="005142F8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142F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6EABD474" w14:textId="77777777" w:rsidR="006C6558" w:rsidRPr="005142F8" w:rsidRDefault="00BB54E2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2F8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51025675" w14:textId="77777777" w:rsidR="00BB54E2" w:rsidRPr="005142F8" w:rsidRDefault="00BB54E2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BBAB22" w14:textId="77777777" w:rsidR="006B7A90" w:rsidRPr="005142F8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77A10F04" w14:textId="77777777" w:rsidR="00BB54E2" w:rsidRPr="00BB54E2" w:rsidRDefault="00BB54E2" w:rsidP="00BB54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lastRenderedPageBreak/>
        <w:t>Aurobindo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Pharma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Limited</w:t>
      </w:r>
    </w:p>
    <w:p w14:paraId="78C9FA38" w14:textId="77777777" w:rsidR="00BB54E2" w:rsidRPr="00BB54E2" w:rsidRDefault="00BB54E2" w:rsidP="00BB54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Unit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VII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SEZ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TSIIC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proofErr w:type="gramStart"/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Plot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.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No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.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S</w:t>
      </w:r>
      <w:proofErr w:type="gramEnd"/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1,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Survey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No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’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s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: 411/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, 425/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, 434/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, 435/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&amp; 458/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Green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Industrial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Park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proofErr w:type="spellStart"/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Polepally</w:t>
      </w:r>
      <w:proofErr w:type="spellEnd"/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Village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proofErr w:type="spellStart"/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Jadcherla</w:t>
      </w:r>
      <w:proofErr w:type="spellEnd"/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Mandal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proofErr w:type="spellStart"/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Махабубнагар</w:t>
      </w:r>
      <w:proofErr w:type="spellEnd"/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Дистрикт,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Telangana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State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, Индия.</w:t>
      </w:r>
    </w:p>
    <w:p w14:paraId="77913A97" w14:textId="77777777" w:rsidR="00BB54E2" w:rsidRPr="00BB54E2" w:rsidRDefault="00BB54E2" w:rsidP="00BB54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Тел.: +914066725000/1200, +914023736370</w:t>
      </w:r>
    </w:p>
    <w:p w14:paraId="1981A3A0" w14:textId="77777777" w:rsidR="00BB54E2" w:rsidRPr="00BB54E2" w:rsidRDefault="00BB54E2" w:rsidP="00BB54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Факс: +914067074059, +914023747340</w:t>
      </w:r>
    </w:p>
    <w:p w14:paraId="1D6EF2D7" w14:textId="77777777" w:rsidR="00BB54E2" w:rsidRPr="00BB54E2" w:rsidRDefault="00BB54E2" w:rsidP="00BB54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u w:val="single"/>
        </w:rPr>
      </w:pPr>
      <w:r w:rsidRPr="00BB54E2">
        <w:rPr>
          <w:rFonts w:ascii="Times New Roman" w:hAnsi="Times New Roman"/>
          <w:color w:val="000000"/>
          <w:sz w:val="28"/>
          <w:szCs w:val="24"/>
        </w:rPr>
        <w:t xml:space="preserve">Адрес электронной почты: </w:t>
      </w:r>
      <w:hyperlink r:id="rId9" w:history="1">
        <w:r w:rsidRPr="00BB54E2">
          <w:rPr>
            <w:rStyle w:val="af"/>
            <w:rFonts w:ascii="Times New Roman" w:hAnsi="Times New Roman"/>
            <w:bCs/>
            <w:iCs/>
            <w:sz w:val="28"/>
            <w:szCs w:val="24"/>
          </w:rPr>
          <w:t>info@aurobindo.com</w:t>
        </w:r>
      </w:hyperlink>
    </w:p>
    <w:p w14:paraId="4466E10C" w14:textId="77777777" w:rsidR="00BB54E2" w:rsidRPr="005142F8" w:rsidRDefault="00BB54E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D45304" w14:textId="77777777" w:rsidR="00D76048" w:rsidRPr="005142F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2F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514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21818923" w14:textId="77777777" w:rsidR="00BB54E2" w:rsidRPr="00BB54E2" w:rsidRDefault="00BB54E2" w:rsidP="00BB54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Aurobindo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Pharma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Limited</w:t>
      </w:r>
    </w:p>
    <w:p w14:paraId="0176BE8A" w14:textId="77777777" w:rsidR="00BB54E2" w:rsidRPr="00BB54E2" w:rsidRDefault="00BB54E2" w:rsidP="00BB54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Unit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VII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SEZ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TSIIC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proofErr w:type="gramStart"/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Plot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.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No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.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S</w:t>
      </w:r>
      <w:proofErr w:type="gramEnd"/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1,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Survey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No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’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s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: 411/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, 425/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, 434/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, 435/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&amp; 458/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Green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Industrial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Park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proofErr w:type="spellStart"/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Polepally</w:t>
      </w:r>
      <w:proofErr w:type="spellEnd"/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Village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proofErr w:type="spellStart"/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Jadcherla</w:t>
      </w:r>
      <w:proofErr w:type="spellEnd"/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Mandal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, </w:t>
      </w:r>
      <w:proofErr w:type="spellStart"/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Махабубнагар</w:t>
      </w:r>
      <w:proofErr w:type="spellEnd"/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Дистрикт,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Telangana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State</w:t>
      </w: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, Индия.</w:t>
      </w:r>
    </w:p>
    <w:p w14:paraId="437857CC" w14:textId="77777777" w:rsidR="00BB54E2" w:rsidRPr="00BB54E2" w:rsidRDefault="00BB54E2" w:rsidP="00BB54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Тел.: +914066725000/1200, +914023736370</w:t>
      </w:r>
    </w:p>
    <w:p w14:paraId="7ACD18A1" w14:textId="77777777" w:rsidR="00BB54E2" w:rsidRPr="00BB54E2" w:rsidRDefault="00BB54E2" w:rsidP="00BB54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BB54E2">
        <w:rPr>
          <w:rFonts w:ascii="Times New Roman" w:hAnsi="Times New Roman"/>
          <w:bCs/>
          <w:iCs/>
          <w:color w:val="000000"/>
          <w:sz w:val="28"/>
          <w:szCs w:val="24"/>
        </w:rPr>
        <w:t>Факс: +914067074059, +914023747340</w:t>
      </w:r>
    </w:p>
    <w:p w14:paraId="2936D6E5" w14:textId="77777777" w:rsidR="00BB54E2" w:rsidRPr="00BB54E2" w:rsidRDefault="00BB54E2" w:rsidP="00BB54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u w:val="single"/>
        </w:rPr>
      </w:pPr>
      <w:r w:rsidRPr="00BB54E2">
        <w:rPr>
          <w:rFonts w:ascii="Times New Roman" w:hAnsi="Times New Roman"/>
          <w:color w:val="000000"/>
          <w:sz w:val="28"/>
          <w:szCs w:val="24"/>
        </w:rPr>
        <w:t xml:space="preserve">Адрес электронной почты: </w:t>
      </w:r>
      <w:hyperlink r:id="rId10" w:history="1">
        <w:r w:rsidRPr="00BB54E2">
          <w:rPr>
            <w:rStyle w:val="af"/>
            <w:rFonts w:ascii="Times New Roman" w:hAnsi="Times New Roman"/>
            <w:bCs/>
            <w:iCs/>
            <w:sz w:val="28"/>
            <w:szCs w:val="24"/>
          </w:rPr>
          <w:t>info@aurobindo.com</w:t>
        </w:r>
      </w:hyperlink>
    </w:p>
    <w:p w14:paraId="37DED327" w14:textId="77777777" w:rsidR="00C91310" w:rsidRPr="005142F8" w:rsidRDefault="00C91310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574F57" w14:textId="77777777" w:rsidR="00891711" w:rsidRPr="005142F8" w:rsidRDefault="00F8747E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5142F8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электронная  почта) организации </w:t>
      </w:r>
      <w:r w:rsidRPr="005142F8">
        <w:rPr>
          <w:rFonts w:ascii="Times New Roman" w:hAnsi="Times New Roman"/>
          <w:b/>
          <w:iCs/>
          <w:sz w:val="28"/>
          <w:szCs w:val="28"/>
        </w:rPr>
        <w:t>на территории Республики Казахстан, принимающей претензии (предложения)  по качеству лекарственн</w:t>
      </w:r>
      <w:r w:rsidR="006D38E4" w:rsidRPr="005142F8">
        <w:rPr>
          <w:rFonts w:ascii="Times New Roman" w:hAnsi="Times New Roman"/>
          <w:b/>
          <w:iCs/>
          <w:sz w:val="28"/>
          <w:szCs w:val="28"/>
        </w:rPr>
        <w:t xml:space="preserve">ых  средств  от потребителей и  </w:t>
      </w:r>
      <w:proofErr w:type="spellStart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</w:t>
      </w:r>
      <w:proofErr w:type="spellEnd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>наблюдение</w:t>
      </w:r>
      <w:proofErr w:type="spellEnd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>безопасностью</w:t>
      </w:r>
      <w:proofErr w:type="spellEnd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>лекарственного</w:t>
      </w:r>
      <w:proofErr w:type="spellEnd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5142F8">
        <w:rPr>
          <w:rFonts w:ascii="Times New Roman" w:hAnsi="Times New Roman"/>
          <w:b/>
          <w:iCs/>
          <w:sz w:val="28"/>
          <w:szCs w:val="28"/>
          <w:lang w:val="de-DE" w:eastAsia="de-DE"/>
        </w:rPr>
        <w:t>средства</w:t>
      </w:r>
      <w:proofErr w:type="spellEnd"/>
      <w:r w:rsidR="00891711" w:rsidRPr="005142F8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14:paraId="028BA416" w14:textId="77777777" w:rsidR="00BB54E2" w:rsidRPr="00BB54E2" w:rsidRDefault="00BB54E2" w:rsidP="00BB54E2">
      <w:pPr>
        <w:pStyle w:val="ConsPlusNormal"/>
        <w:jc w:val="both"/>
        <w:rPr>
          <w:bCs/>
          <w:iCs/>
          <w:sz w:val="28"/>
          <w:szCs w:val="28"/>
        </w:rPr>
      </w:pPr>
      <w:r w:rsidRPr="00BB54E2">
        <w:rPr>
          <w:bCs/>
          <w:iCs/>
          <w:sz w:val="28"/>
          <w:szCs w:val="28"/>
        </w:rPr>
        <w:t>ТОО “</w:t>
      </w:r>
      <w:r w:rsidRPr="00BB54E2">
        <w:rPr>
          <w:bCs/>
          <w:iCs/>
          <w:sz w:val="28"/>
          <w:szCs w:val="28"/>
          <w:lang w:val="en-US"/>
        </w:rPr>
        <w:t>LEKARSTVENNAYA</w:t>
      </w:r>
      <w:r w:rsidRPr="00BB54E2">
        <w:rPr>
          <w:bCs/>
          <w:iCs/>
          <w:sz w:val="28"/>
          <w:szCs w:val="28"/>
        </w:rPr>
        <w:t xml:space="preserve"> </w:t>
      </w:r>
      <w:r w:rsidRPr="00BB54E2">
        <w:rPr>
          <w:bCs/>
          <w:iCs/>
          <w:sz w:val="28"/>
          <w:szCs w:val="28"/>
          <w:lang w:val="en-US"/>
        </w:rPr>
        <w:t>BEZOPASNOST</w:t>
      </w:r>
      <w:r w:rsidRPr="00BB54E2">
        <w:rPr>
          <w:bCs/>
          <w:iCs/>
          <w:sz w:val="28"/>
          <w:szCs w:val="28"/>
        </w:rPr>
        <w:t xml:space="preserve"> (Лекарственная</w:t>
      </w:r>
      <w:r w:rsidRPr="005142F8">
        <w:rPr>
          <w:bCs/>
          <w:iCs/>
          <w:sz w:val="28"/>
          <w:szCs w:val="28"/>
        </w:rPr>
        <w:t xml:space="preserve"> </w:t>
      </w:r>
      <w:r w:rsidRPr="00BB54E2">
        <w:rPr>
          <w:bCs/>
          <w:iCs/>
          <w:sz w:val="28"/>
          <w:szCs w:val="28"/>
        </w:rPr>
        <w:t>безопасность)”</w:t>
      </w:r>
    </w:p>
    <w:p w14:paraId="42228DA0" w14:textId="77777777" w:rsidR="00BB54E2" w:rsidRPr="00BB54E2" w:rsidRDefault="00BB54E2" w:rsidP="00BB54E2">
      <w:pPr>
        <w:pStyle w:val="ConsPlusNormal"/>
        <w:jc w:val="both"/>
        <w:rPr>
          <w:bCs/>
          <w:iCs/>
          <w:sz w:val="28"/>
          <w:szCs w:val="28"/>
        </w:rPr>
      </w:pPr>
      <w:r w:rsidRPr="00BB54E2">
        <w:rPr>
          <w:bCs/>
          <w:iCs/>
          <w:sz w:val="28"/>
          <w:szCs w:val="28"/>
        </w:rPr>
        <w:t xml:space="preserve">050047, Казахстан, город Алматы, Алатауский район, микрорайон </w:t>
      </w:r>
      <w:proofErr w:type="spellStart"/>
      <w:r w:rsidRPr="00BB54E2">
        <w:rPr>
          <w:bCs/>
          <w:iCs/>
          <w:sz w:val="28"/>
          <w:szCs w:val="28"/>
        </w:rPr>
        <w:t>Саялы</w:t>
      </w:r>
      <w:proofErr w:type="spellEnd"/>
      <w:r w:rsidRPr="00BB54E2">
        <w:rPr>
          <w:bCs/>
          <w:iCs/>
          <w:sz w:val="28"/>
          <w:szCs w:val="28"/>
        </w:rPr>
        <w:t>, д.16, кв.8.</w:t>
      </w:r>
    </w:p>
    <w:p w14:paraId="429FFE5B" w14:textId="77777777" w:rsidR="00BB54E2" w:rsidRPr="00BB54E2" w:rsidRDefault="00BB54E2" w:rsidP="00BB54E2">
      <w:pPr>
        <w:pStyle w:val="ConsPlusNormal"/>
        <w:jc w:val="both"/>
        <w:rPr>
          <w:bCs/>
          <w:iCs/>
          <w:sz w:val="28"/>
          <w:szCs w:val="28"/>
          <w:lang w:val="en-US"/>
        </w:rPr>
      </w:pPr>
      <w:r w:rsidRPr="00BB54E2">
        <w:rPr>
          <w:bCs/>
          <w:iCs/>
          <w:sz w:val="28"/>
          <w:szCs w:val="28"/>
        </w:rPr>
        <w:t>Тел</w:t>
      </w:r>
      <w:r w:rsidRPr="00BB54E2">
        <w:rPr>
          <w:bCs/>
          <w:iCs/>
          <w:sz w:val="28"/>
          <w:szCs w:val="28"/>
          <w:lang w:val="en-US"/>
        </w:rPr>
        <w:t xml:space="preserve">.: +7 777 064 27 02, +7 499 504-15-19, </w:t>
      </w:r>
    </w:p>
    <w:p w14:paraId="0EEDC1A1" w14:textId="77777777" w:rsidR="00BB54E2" w:rsidRPr="00BB54E2" w:rsidRDefault="00BB54E2" w:rsidP="00BB54E2">
      <w:pPr>
        <w:pStyle w:val="ConsPlusNormal"/>
        <w:jc w:val="both"/>
        <w:rPr>
          <w:iCs/>
          <w:sz w:val="28"/>
          <w:szCs w:val="28"/>
          <w:u w:val="single"/>
          <w:lang w:val="en-US"/>
        </w:rPr>
      </w:pPr>
      <w:r w:rsidRPr="00BB54E2">
        <w:rPr>
          <w:bCs/>
          <w:iCs/>
          <w:sz w:val="28"/>
          <w:szCs w:val="28"/>
          <w:lang w:val="en-US"/>
        </w:rPr>
        <w:t xml:space="preserve">e-mail: </w:t>
      </w:r>
      <w:hyperlink r:id="rId11" w:history="1">
        <w:r w:rsidRPr="00BB54E2">
          <w:rPr>
            <w:rStyle w:val="af"/>
            <w:iCs/>
            <w:sz w:val="28"/>
            <w:szCs w:val="28"/>
            <w:lang w:val="en-US"/>
          </w:rPr>
          <w:t>adversereaction@drugsafety.ru</w:t>
        </w:r>
      </w:hyperlink>
    </w:p>
    <w:p w14:paraId="5229E56D" w14:textId="77777777" w:rsidR="00844CE8" w:rsidRPr="00BB54E2" w:rsidRDefault="00844CE8" w:rsidP="00BB54E2">
      <w:pPr>
        <w:pStyle w:val="ConsPlusNormal"/>
        <w:jc w:val="both"/>
        <w:rPr>
          <w:sz w:val="24"/>
          <w:szCs w:val="24"/>
          <w:lang w:val="en-US"/>
        </w:rPr>
      </w:pPr>
    </w:p>
    <w:p w14:paraId="2C535952" w14:textId="77777777" w:rsidR="002C76D7" w:rsidRPr="00BB54E2" w:rsidRDefault="002C76D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149666A6" w14:textId="35D45515" w:rsidR="005D2523" w:rsidRDefault="005D2523"/>
    <w:sectPr w:rsidR="005D2523" w:rsidSect="00F97B5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4576" w14:textId="77777777" w:rsidR="00ED4E86" w:rsidRDefault="00ED4E86" w:rsidP="00D275FC">
      <w:pPr>
        <w:spacing w:after="0" w:line="240" w:lineRule="auto"/>
      </w:pPr>
      <w:r>
        <w:separator/>
      </w:r>
    </w:p>
  </w:endnote>
  <w:endnote w:type="continuationSeparator" w:id="0">
    <w:p w14:paraId="40209C36" w14:textId="77777777" w:rsidR="00ED4E86" w:rsidRDefault="00ED4E86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A0B7" w14:textId="77777777" w:rsidR="009D472B" w:rsidRDefault="00ED4E86"/>
  <w:p w14:paraId="3CFF6C77" w14:textId="77777777" w:rsidR="005D2523" w:rsidRDefault="00ED4E86">
    <w:r>
      <w:rPr>
        <w:rFonts w:ascii="Times New Roman" w:eastAsia="Times New Roman" w:hAnsi="Times New Roman"/>
      </w:rPr>
      <w:t>Решение: N075879</w:t>
    </w:r>
    <w:r>
      <w:rPr>
        <w:rFonts w:ascii="Times New Roman" w:eastAsia="Times New Roman" w:hAnsi="Times New Roman"/>
      </w:rPr>
      <w:br/>
      <w:t>Дата решения: 19.06.2024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Кенжеханова</w:t>
    </w:r>
    <w:proofErr w:type="spellEnd"/>
    <w:r>
      <w:rPr>
        <w:rFonts w:ascii="Times New Roman" w:eastAsia="Times New Roman" w:hAnsi="Times New Roman"/>
      </w:rPr>
      <w:t xml:space="preserve"> А. Ж.</w:t>
    </w:r>
    <w:r>
      <w:rPr>
        <w:rFonts w:ascii="Times New Roman" w:eastAsia="Times New Roman" w:hAnsi="Times New Roman"/>
      </w:rPr>
      <w:br/>
      <w:t xml:space="preserve">(Комитет медицинского и фармацевтического контроля </w:t>
    </w:r>
    <w:r>
      <w:rPr>
        <w:rFonts w:ascii="Times New Roman" w:eastAsia="Times New Roman" w:hAnsi="Times New Roman"/>
      </w:rPr>
      <w:t>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584B" w14:textId="77777777" w:rsidR="009D472B" w:rsidRDefault="00ED4E86"/>
  <w:p w14:paraId="4B21FBD4" w14:textId="5C5EA45C" w:rsidR="005D2523" w:rsidRDefault="005D252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553E" w14:textId="77777777" w:rsidR="009D472B" w:rsidRDefault="00ED4E86"/>
  <w:p w14:paraId="112632EC" w14:textId="77777777" w:rsidR="005D2523" w:rsidRDefault="00ED4E86">
    <w:r>
      <w:rPr>
        <w:rFonts w:ascii="Times New Roman" w:eastAsia="Times New Roman" w:hAnsi="Times New Roman"/>
      </w:rPr>
      <w:t>Решение: N075879</w:t>
    </w:r>
    <w:r>
      <w:rPr>
        <w:rFonts w:ascii="Times New Roman" w:eastAsia="Times New Roman" w:hAnsi="Times New Roman"/>
      </w:rPr>
      <w:br/>
      <w:t>Дата решения: 19</w:t>
    </w:r>
    <w:r>
      <w:rPr>
        <w:rFonts w:ascii="Times New Roman" w:eastAsia="Times New Roman" w:hAnsi="Times New Roman"/>
      </w:rPr>
      <w:t>.06.2024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Кенжеханова</w:t>
    </w:r>
    <w:proofErr w:type="spellEnd"/>
    <w:r>
      <w:rPr>
        <w:rFonts w:ascii="Times New Roman" w:eastAsia="Times New Roman" w:hAnsi="Times New Roman"/>
      </w:rPr>
      <w:t xml:space="preserve">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</w:t>
    </w:r>
    <w:r>
      <w:rPr>
        <w:rFonts w:ascii="Times New Roman" w:eastAsia="Times New Roman" w:hAnsi="Times New Roman"/>
      </w:rPr>
      <w:t>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A430" w14:textId="77777777" w:rsidR="00ED4E86" w:rsidRDefault="00ED4E86" w:rsidP="00D275FC">
      <w:pPr>
        <w:spacing w:after="0" w:line="240" w:lineRule="auto"/>
      </w:pPr>
      <w:r>
        <w:separator/>
      </w:r>
    </w:p>
  </w:footnote>
  <w:footnote w:type="continuationSeparator" w:id="0">
    <w:p w14:paraId="7B06D4F8" w14:textId="77777777" w:rsidR="00ED4E86" w:rsidRDefault="00ED4E86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8B14" w14:textId="77777777"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47E397" wp14:editId="3FF2F6AD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EE32C5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7E397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66EE32C5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64BB"/>
    <w:rsid w:val="00033FC1"/>
    <w:rsid w:val="00034159"/>
    <w:rsid w:val="00042999"/>
    <w:rsid w:val="00084813"/>
    <w:rsid w:val="000852A1"/>
    <w:rsid w:val="000923D9"/>
    <w:rsid w:val="000972E6"/>
    <w:rsid w:val="000A0D71"/>
    <w:rsid w:val="000C2C4B"/>
    <w:rsid w:val="000C4C48"/>
    <w:rsid w:val="000E01AB"/>
    <w:rsid w:val="000E2683"/>
    <w:rsid w:val="000E3FEE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937AD"/>
    <w:rsid w:val="001A2CB2"/>
    <w:rsid w:val="001A5CCF"/>
    <w:rsid w:val="001B6AEC"/>
    <w:rsid w:val="001E6F4C"/>
    <w:rsid w:val="001F16AA"/>
    <w:rsid w:val="00203355"/>
    <w:rsid w:val="00211005"/>
    <w:rsid w:val="00214FC9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F0ED1"/>
    <w:rsid w:val="002F4A14"/>
    <w:rsid w:val="00302607"/>
    <w:rsid w:val="003043BF"/>
    <w:rsid w:val="00320073"/>
    <w:rsid w:val="003262DF"/>
    <w:rsid w:val="003356B2"/>
    <w:rsid w:val="0036288F"/>
    <w:rsid w:val="0036466E"/>
    <w:rsid w:val="00365B10"/>
    <w:rsid w:val="003662F1"/>
    <w:rsid w:val="00367BA7"/>
    <w:rsid w:val="003761C0"/>
    <w:rsid w:val="003812B2"/>
    <w:rsid w:val="00383CDB"/>
    <w:rsid w:val="00384F08"/>
    <w:rsid w:val="003879F9"/>
    <w:rsid w:val="00391C3D"/>
    <w:rsid w:val="003A035E"/>
    <w:rsid w:val="003B0285"/>
    <w:rsid w:val="003B7C91"/>
    <w:rsid w:val="003C6752"/>
    <w:rsid w:val="003E13CF"/>
    <w:rsid w:val="003F5344"/>
    <w:rsid w:val="003F7EDC"/>
    <w:rsid w:val="004020D4"/>
    <w:rsid w:val="00404548"/>
    <w:rsid w:val="0041162E"/>
    <w:rsid w:val="0042786D"/>
    <w:rsid w:val="00433C62"/>
    <w:rsid w:val="00434D01"/>
    <w:rsid w:val="00472EF5"/>
    <w:rsid w:val="0048687C"/>
    <w:rsid w:val="004A31B4"/>
    <w:rsid w:val="004C1922"/>
    <w:rsid w:val="004C462F"/>
    <w:rsid w:val="004D49E9"/>
    <w:rsid w:val="004F692A"/>
    <w:rsid w:val="005071DA"/>
    <w:rsid w:val="00512C02"/>
    <w:rsid w:val="005142F8"/>
    <w:rsid w:val="00523D82"/>
    <w:rsid w:val="00541A00"/>
    <w:rsid w:val="005444B2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2523"/>
    <w:rsid w:val="005D68C6"/>
    <w:rsid w:val="005D7EE3"/>
    <w:rsid w:val="005E50DE"/>
    <w:rsid w:val="005F7097"/>
    <w:rsid w:val="0060364A"/>
    <w:rsid w:val="0061650D"/>
    <w:rsid w:val="00617843"/>
    <w:rsid w:val="00617D9F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7A90"/>
    <w:rsid w:val="006C385B"/>
    <w:rsid w:val="006C577B"/>
    <w:rsid w:val="006C5F38"/>
    <w:rsid w:val="006C6558"/>
    <w:rsid w:val="006D38E4"/>
    <w:rsid w:val="006D5B76"/>
    <w:rsid w:val="006D7D5A"/>
    <w:rsid w:val="006E4305"/>
    <w:rsid w:val="006F5763"/>
    <w:rsid w:val="00704BAB"/>
    <w:rsid w:val="007104D1"/>
    <w:rsid w:val="007135A6"/>
    <w:rsid w:val="00732F32"/>
    <w:rsid w:val="00733A73"/>
    <w:rsid w:val="00735031"/>
    <w:rsid w:val="00736B6C"/>
    <w:rsid w:val="00745CFF"/>
    <w:rsid w:val="00746FF2"/>
    <w:rsid w:val="00761133"/>
    <w:rsid w:val="00764E84"/>
    <w:rsid w:val="007762F8"/>
    <w:rsid w:val="00783520"/>
    <w:rsid w:val="00784208"/>
    <w:rsid w:val="007A02D3"/>
    <w:rsid w:val="007A18B1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51C2E"/>
    <w:rsid w:val="0086657B"/>
    <w:rsid w:val="008832E5"/>
    <w:rsid w:val="00891711"/>
    <w:rsid w:val="00897669"/>
    <w:rsid w:val="008C0181"/>
    <w:rsid w:val="008D4451"/>
    <w:rsid w:val="008D62B7"/>
    <w:rsid w:val="008E6895"/>
    <w:rsid w:val="00900B3C"/>
    <w:rsid w:val="0090243E"/>
    <w:rsid w:val="00904FB5"/>
    <w:rsid w:val="0091136C"/>
    <w:rsid w:val="009157ED"/>
    <w:rsid w:val="00930D7D"/>
    <w:rsid w:val="00947F4E"/>
    <w:rsid w:val="0095047E"/>
    <w:rsid w:val="00956101"/>
    <w:rsid w:val="00962CD6"/>
    <w:rsid w:val="00993A60"/>
    <w:rsid w:val="00996191"/>
    <w:rsid w:val="00996F90"/>
    <w:rsid w:val="009B014E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228A6"/>
    <w:rsid w:val="00A8185B"/>
    <w:rsid w:val="00AA5E2F"/>
    <w:rsid w:val="00AA7317"/>
    <w:rsid w:val="00AC2C0B"/>
    <w:rsid w:val="00AC4905"/>
    <w:rsid w:val="00AE7922"/>
    <w:rsid w:val="00B01011"/>
    <w:rsid w:val="00B11878"/>
    <w:rsid w:val="00B46F30"/>
    <w:rsid w:val="00B608C1"/>
    <w:rsid w:val="00B60D3D"/>
    <w:rsid w:val="00B61D95"/>
    <w:rsid w:val="00B9187F"/>
    <w:rsid w:val="00BB3050"/>
    <w:rsid w:val="00BB54E2"/>
    <w:rsid w:val="00BB7831"/>
    <w:rsid w:val="00BC31BC"/>
    <w:rsid w:val="00BC6167"/>
    <w:rsid w:val="00BE4435"/>
    <w:rsid w:val="00BE6B71"/>
    <w:rsid w:val="00C07BB3"/>
    <w:rsid w:val="00C2000E"/>
    <w:rsid w:val="00C379C9"/>
    <w:rsid w:val="00C422B8"/>
    <w:rsid w:val="00C47A40"/>
    <w:rsid w:val="00C566D6"/>
    <w:rsid w:val="00C814A3"/>
    <w:rsid w:val="00C839ED"/>
    <w:rsid w:val="00C84299"/>
    <w:rsid w:val="00C91310"/>
    <w:rsid w:val="00C92F14"/>
    <w:rsid w:val="00C9308C"/>
    <w:rsid w:val="00C97365"/>
    <w:rsid w:val="00CC08BA"/>
    <w:rsid w:val="00CC330A"/>
    <w:rsid w:val="00CC5727"/>
    <w:rsid w:val="00CC7DBD"/>
    <w:rsid w:val="00CE38C0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57D5F"/>
    <w:rsid w:val="00D70DB6"/>
    <w:rsid w:val="00D76048"/>
    <w:rsid w:val="00D93C80"/>
    <w:rsid w:val="00D96A8F"/>
    <w:rsid w:val="00DB406A"/>
    <w:rsid w:val="00DC33F0"/>
    <w:rsid w:val="00DF11A7"/>
    <w:rsid w:val="00E03E8D"/>
    <w:rsid w:val="00E271CB"/>
    <w:rsid w:val="00E34FE3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B1D97"/>
    <w:rsid w:val="00ED4E86"/>
    <w:rsid w:val="00EF4C53"/>
    <w:rsid w:val="00EF5698"/>
    <w:rsid w:val="00EF6CC3"/>
    <w:rsid w:val="00EF7AB6"/>
    <w:rsid w:val="00F006F1"/>
    <w:rsid w:val="00F07B7B"/>
    <w:rsid w:val="00F17C73"/>
    <w:rsid w:val="00F23B95"/>
    <w:rsid w:val="00F3708F"/>
    <w:rsid w:val="00F40388"/>
    <w:rsid w:val="00F545E0"/>
    <w:rsid w:val="00F63389"/>
    <w:rsid w:val="00F76DBE"/>
    <w:rsid w:val="00F8747E"/>
    <w:rsid w:val="00F91977"/>
    <w:rsid w:val="00F92ACD"/>
    <w:rsid w:val="00F97B57"/>
    <w:rsid w:val="00FA4F7C"/>
    <w:rsid w:val="00FB0456"/>
    <w:rsid w:val="00FB47F4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13BC2"/>
  <w15:docId w15:val="{42EF7ACB-8185-455B-BF97-C80C193A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5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ersereaction@drugsafety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urobind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urobind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C239-F407-49EE-889C-2444D9E9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4489</Words>
  <Characters>25589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30018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3</cp:revision>
  <cp:lastPrinted>2018-03-22T06:08:00Z</cp:lastPrinted>
  <dcterms:created xsi:type="dcterms:W3CDTF">2024-05-06T04:58:00Z</dcterms:created>
  <dcterms:modified xsi:type="dcterms:W3CDTF">2024-06-20T12:30:00Z</dcterms:modified>
</cp:coreProperties>
</file>